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00" w:rsidRDefault="00794600">
      <w:pPr>
        <w:spacing w:line="600" w:lineRule="exact"/>
        <w:rPr>
          <w:rFonts w:eastAsia="黑体"/>
          <w:sz w:val="32"/>
          <w:szCs w:val="32"/>
        </w:rPr>
      </w:pPr>
    </w:p>
    <w:p w:rsidR="00794600" w:rsidRDefault="00794600">
      <w:pPr>
        <w:spacing w:line="600" w:lineRule="exact"/>
        <w:rPr>
          <w:rFonts w:eastAsia="黑体"/>
          <w:sz w:val="32"/>
          <w:szCs w:val="32"/>
        </w:rPr>
      </w:pPr>
    </w:p>
    <w:p w:rsidR="00794600" w:rsidRDefault="00DC641E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</w:t>
      </w:r>
      <w:r w:rsidR="00E7273E">
        <w:rPr>
          <w:rFonts w:eastAsia="方正小标宋_GBK" w:hint="eastAsia"/>
          <w:sz w:val="52"/>
          <w:szCs w:val="52"/>
        </w:rPr>
        <w:t>4</w:t>
      </w:r>
      <w:r>
        <w:rPr>
          <w:rFonts w:eastAsia="方正小标宋_GBK"/>
          <w:sz w:val="52"/>
          <w:szCs w:val="52"/>
        </w:rPr>
        <w:t>年度</w:t>
      </w:r>
      <w:r>
        <w:rPr>
          <w:rFonts w:eastAsia="方正小标宋_GBK" w:hint="eastAsia"/>
          <w:sz w:val="52"/>
          <w:szCs w:val="52"/>
        </w:rPr>
        <w:t>城步县司法局</w:t>
      </w:r>
      <w:r>
        <w:rPr>
          <w:rFonts w:eastAsia="方正小标宋_GBK" w:hint="eastAsia"/>
          <w:sz w:val="52"/>
          <w:szCs w:val="52"/>
        </w:rPr>
        <w:t>部门</w:t>
      </w:r>
    </w:p>
    <w:p w:rsidR="00794600" w:rsidRDefault="00DC641E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整体支出绩效自评报告</w:t>
      </w:r>
    </w:p>
    <w:p w:rsidR="00794600" w:rsidRDefault="00794600">
      <w:pPr>
        <w:jc w:val="center"/>
        <w:rPr>
          <w:rFonts w:eastAsia="方正小标宋_GBK"/>
          <w:b/>
          <w:sz w:val="52"/>
          <w:szCs w:val="52"/>
        </w:rPr>
      </w:pPr>
    </w:p>
    <w:p w:rsidR="00794600" w:rsidRDefault="00794600">
      <w:pPr>
        <w:jc w:val="center"/>
        <w:rPr>
          <w:rFonts w:eastAsia="黑体"/>
          <w:sz w:val="32"/>
          <w:szCs w:val="32"/>
        </w:rPr>
      </w:pPr>
    </w:p>
    <w:p w:rsidR="00794600" w:rsidRDefault="00794600">
      <w:pPr>
        <w:jc w:val="center"/>
        <w:rPr>
          <w:rFonts w:eastAsia="黑体"/>
          <w:sz w:val="32"/>
          <w:szCs w:val="32"/>
        </w:rPr>
      </w:pPr>
    </w:p>
    <w:p w:rsidR="00794600" w:rsidRDefault="00794600">
      <w:pPr>
        <w:jc w:val="center"/>
        <w:rPr>
          <w:rFonts w:eastAsia="黑体"/>
          <w:sz w:val="32"/>
          <w:szCs w:val="32"/>
        </w:rPr>
      </w:pPr>
    </w:p>
    <w:p w:rsidR="00794600" w:rsidRDefault="00794600">
      <w:pPr>
        <w:jc w:val="center"/>
        <w:rPr>
          <w:rFonts w:eastAsia="黑体"/>
          <w:sz w:val="32"/>
          <w:szCs w:val="32"/>
        </w:rPr>
      </w:pPr>
    </w:p>
    <w:p w:rsidR="00794600" w:rsidRDefault="00794600">
      <w:pPr>
        <w:jc w:val="center"/>
        <w:rPr>
          <w:rFonts w:eastAsia="黑体"/>
          <w:sz w:val="32"/>
          <w:szCs w:val="32"/>
        </w:rPr>
      </w:pPr>
    </w:p>
    <w:p w:rsidR="00794600" w:rsidRDefault="00794600">
      <w:pPr>
        <w:jc w:val="center"/>
        <w:rPr>
          <w:rFonts w:eastAsia="黑体"/>
          <w:sz w:val="32"/>
          <w:szCs w:val="32"/>
        </w:rPr>
      </w:pPr>
    </w:p>
    <w:p w:rsidR="00794600" w:rsidRDefault="00794600">
      <w:pPr>
        <w:jc w:val="center"/>
        <w:rPr>
          <w:rFonts w:eastAsia="黑体"/>
          <w:sz w:val="32"/>
          <w:szCs w:val="32"/>
        </w:rPr>
      </w:pPr>
    </w:p>
    <w:p w:rsidR="00794600" w:rsidRDefault="00DC641E">
      <w:pPr>
        <w:spacing w:line="600" w:lineRule="exact"/>
        <w:ind w:firstLineChars="600" w:firstLine="2400"/>
        <w:rPr>
          <w:rFonts w:ascii="仿宋" w:eastAsia="仿宋" w:hAnsi="仿宋" w:cs="仿宋"/>
          <w:sz w:val="40"/>
          <w:szCs w:val="40"/>
          <w:u w:val="single"/>
        </w:rPr>
      </w:pPr>
      <w:r>
        <w:rPr>
          <w:rFonts w:ascii="仿宋" w:eastAsia="仿宋" w:hAnsi="仿宋" w:cs="仿宋" w:hint="eastAsia"/>
          <w:sz w:val="40"/>
          <w:szCs w:val="40"/>
        </w:rPr>
        <w:t>单位名称：</w:t>
      </w:r>
      <w:r>
        <w:rPr>
          <w:rFonts w:ascii="仿宋" w:eastAsia="仿宋" w:hAnsi="仿宋" w:cs="仿宋" w:hint="eastAsia"/>
          <w:sz w:val="40"/>
          <w:szCs w:val="40"/>
          <w:u w:val="single"/>
        </w:rPr>
        <w:t>（盖章）</w:t>
      </w:r>
      <w:r>
        <w:rPr>
          <w:rFonts w:ascii="仿宋" w:eastAsia="仿宋" w:hAnsi="仿宋" w:cs="仿宋" w:hint="eastAsia"/>
          <w:sz w:val="40"/>
          <w:szCs w:val="40"/>
          <w:u w:val="single"/>
        </w:rPr>
        <w:t xml:space="preserve">    </w:t>
      </w:r>
    </w:p>
    <w:p w:rsidR="00794600" w:rsidRDefault="00DC641E">
      <w:pPr>
        <w:spacing w:line="600" w:lineRule="exact"/>
        <w:ind w:firstLineChars="700" w:firstLine="2800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 w:hint="eastAsia"/>
          <w:sz w:val="40"/>
          <w:szCs w:val="40"/>
        </w:rPr>
        <w:t>202</w:t>
      </w:r>
      <w:r w:rsidR="00E7273E">
        <w:rPr>
          <w:rFonts w:ascii="仿宋" w:eastAsia="仿宋" w:hAnsi="仿宋" w:cs="仿宋" w:hint="eastAsia"/>
          <w:sz w:val="40"/>
          <w:szCs w:val="40"/>
        </w:rPr>
        <w:t>5</w:t>
      </w:r>
      <w:r>
        <w:rPr>
          <w:rFonts w:ascii="仿宋" w:eastAsia="仿宋" w:hAnsi="仿宋" w:cs="仿宋" w:hint="eastAsia"/>
          <w:sz w:val="40"/>
          <w:szCs w:val="40"/>
        </w:rPr>
        <w:t>年</w:t>
      </w:r>
      <w:r>
        <w:rPr>
          <w:rFonts w:ascii="仿宋" w:eastAsia="仿宋" w:hAnsi="仿宋" w:cs="仿宋" w:hint="eastAsia"/>
          <w:sz w:val="40"/>
          <w:szCs w:val="40"/>
        </w:rPr>
        <w:t xml:space="preserve"> </w:t>
      </w:r>
      <w:r w:rsidR="00E7273E">
        <w:rPr>
          <w:rFonts w:ascii="仿宋" w:eastAsia="仿宋" w:hAnsi="仿宋" w:cs="仿宋" w:hint="eastAsia"/>
          <w:sz w:val="40"/>
          <w:szCs w:val="40"/>
        </w:rPr>
        <w:t>4</w:t>
      </w:r>
      <w:r>
        <w:rPr>
          <w:rFonts w:ascii="仿宋" w:eastAsia="仿宋" w:hAnsi="仿宋" w:cs="仿宋" w:hint="eastAsia"/>
          <w:sz w:val="40"/>
          <w:szCs w:val="40"/>
        </w:rPr>
        <w:t xml:space="preserve"> </w:t>
      </w:r>
      <w:r>
        <w:rPr>
          <w:rFonts w:ascii="仿宋" w:eastAsia="仿宋" w:hAnsi="仿宋" w:cs="仿宋" w:hint="eastAsia"/>
          <w:sz w:val="40"/>
          <w:szCs w:val="40"/>
        </w:rPr>
        <w:t>月</w:t>
      </w:r>
      <w:r w:rsidR="00E7273E">
        <w:rPr>
          <w:rFonts w:ascii="仿宋" w:eastAsia="仿宋" w:hAnsi="仿宋" w:cs="仿宋" w:hint="eastAsia"/>
          <w:sz w:val="40"/>
          <w:szCs w:val="40"/>
        </w:rPr>
        <w:t>16</w:t>
      </w:r>
      <w:r>
        <w:rPr>
          <w:rFonts w:ascii="仿宋" w:eastAsia="仿宋" w:hAnsi="仿宋" w:cs="仿宋" w:hint="eastAsia"/>
          <w:sz w:val="40"/>
          <w:szCs w:val="40"/>
        </w:rPr>
        <w:t>日</w:t>
      </w:r>
    </w:p>
    <w:p w:rsidR="00794600" w:rsidRDefault="00794600"/>
    <w:p w:rsidR="00794600" w:rsidRDefault="00794600"/>
    <w:p w:rsidR="00794600" w:rsidRDefault="00794600"/>
    <w:p w:rsidR="00794600" w:rsidRDefault="00794600"/>
    <w:p w:rsidR="00794600" w:rsidRDefault="00794600"/>
    <w:p w:rsidR="00794600" w:rsidRDefault="00794600"/>
    <w:p w:rsidR="00794600" w:rsidRDefault="00794600"/>
    <w:p w:rsidR="00794600" w:rsidRDefault="00794600">
      <w:pPr>
        <w:pStyle w:val="a4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eastAsia="方正小标宋_GBK" w:hAnsi="方正小标宋_GBK" w:cs="方正小标宋_GBK"/>
          <w:color w:val="000000"/>
          <w:sz w:val="32"/>
          <w:szCs w:val="32"/>
          <w:shd w:val="clear" w:color="auto" w:fill="FFFFFF"/>
        </w:rPr>
      </w:pPr>
    </w:p>
    <w:p w:rsidR="00794600" w:rsidRDefault="00DC641E">
      <w:pPr>
        <w:pStyle w:val="a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202</w:t>
      </w:r>
      <w:r w:rsidR="00E7273E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4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年度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城步县司法局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部门整体支出</w:t>
      </w:r>
    </w:p>
    <w:p w:rsidR="00794600" w:rsidRDefault="00DC641E">
      <w:pPr>
        <w:pStyle w:val="a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绩效自评报告</w:t>
      </w:r>
    </w:p>
    <w:p w:rsidR="00794600" w:rsidRDefault="00794600">
      <w:pPr>
        <w:pStyle w:val="a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小标宋_GBK" w:eastAsia="方正小标宋_GBK" w:hAnsi="方正小标宋_GBK" w:cs="方正小标宋_GBK"/>
          <w:color w:val="000000"/>
          <w:szCs w:val="24"/>
        </w:rPr>
      </w:pPr>
    </w:p>
    <w:p w:rsidR="00794600" w:rsidRDefault="00794600">
      <w:pPr>
        <w:pStyle w:val="a4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仿宋_GB2312" w:cs="仿宋_GB2312"/>
          <w:color w:val="000000"/>
          <w:szCs w:val="24"/>
        </w:rPr>
      </w:pP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一、部门、单位基本情况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:rsidR="00794600" w:rsidRDefault="00DC641E" w:rsidP="00DC641E">
      <w:pPr>
        <w:spacing w:line="46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bookmarkStart w:id="0" w:name="ORG_SET"/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根据编委核定，我局内设股室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个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, 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基层司法所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个。内设股室分别是办公室、政工室、行政执法协调监督股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、普法与依法治理股</w:t>
      </w:r>
      <w:r w:rsidR="00E7273E"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（依法治县工作办公室）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律师工作股、法律援助中心、人民参与与促进法治股、社区矫正股、行政复议与应诉股。基层司法所分别是儒林司法所、茅坪司法所、蒋坊司法所、西岩司法所、威溪司法所、金紫司法所、汀坪司法所、兰蓉司法所、白毛坪司法所、丹口司法所、五团司法所、长安营司法所。</w:t>
      </w:r>
      <w:bookmarkEnd w:id="0"/>
    </w:p>
    <w:p w:rsidR="00794600" w:rsidRDefault="00DC641E" w:rsidP="00DC641E">
      <w:pPr>
        <w:pStyle w:val="a4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46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人员编制情况</w:t>
      </w:r>
    </w:p>
    <w:p w:rsidR="00E7273E" w:rsidRPr="00E7273E" w:rsidRDefault="00DC641E" w:rsidP="00DC641E">
      <w:pPr>
        <w:widowControl/>
        <w:shd w:val="clear" w:color="auto" w:fill="FFFFFF"/>
        <w:spacing w:line="460" w:lineRule="exact"/>
        <w:ind w:firstLine="64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城步</w:t>
      </w:r>
      <w:r w:rsidR="00E7273E" w:rsidRPr="00E7273E">
        <w:rPr>
          <w:rFonts w:ascii="仿宋" w:eastAsia="仿宋" w:hAnsi="仿宋" w:cs="仿宋" w:hint="eastAsia"/>
          <w:sz w:val="32"/>
          <w:szCs w:val="32"/>
        </w:rPr>
        <w:t>县司法局现有政法专项编制45名，行政编制2名，事业编制6名，其中局机关政法专项编制23名，行政编制2名，司法所政法专项编制22名，法律援助中心事业编制6名（全额拨款）。至2024年年底在职干警共46人，其中局机关实有人数20人，法援中心事业编制实有人数6人，司法所实有人数20人。</w:t>
      </w:r>
    </w:p>
    <w:p w:rsidR="00794600" w:rsidRDefault="00E7273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 w:rsidRPr="00E7273E">
        <w:rPr>
          <w:rFonts w:ascii="仿宋" w:eastAsia="仿宋" w:hAnsi="仿宋" w:cs="仿宋" w:hint="eastAsia"/>
          <w:kern w:val="2"/>
          <w:sz w:val="32"/>
          <w:szCs w:val="32"/>
        </w:rPr>
        <w:t>2024年比2023年增加了4名公务员,原因为2024年退休干警2名，从其他单位调入2人，考录4人。</w:t>
      </w:r>
    </w:p>
    <w:p w:rsidR="00794600" w:rsidRDefault="00DC641E" w:rsidP="00DC641E">
      <w:pPr>
        <w:pStyle w:val="a4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46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主要职能职责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城步苗族自治县司法局是县人民政府组成部门，负责指导全县司法行政工作，具体承担社区矫正、安置帮教、人民调解、普法依法治理、律师、公证、基层法律服务、法律援助、司法鉴定、司法考试、人民监督员选任管理共11项职能。主要职责如下：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(1)贯彻执行国家有关司法行政工作的方针、政策、法规，编制全县司法行政工作发展规划和年度计划并监督实施。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(2)指导全县普法依法治理工作；参与社会治安综合治理工作。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(3)负责指导监督全县律师工作和公证工作并承担相应责任；负责管理公证机构。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(4)指导监督基层司法所建设和人民调解、社区矫正、基层法律服务和安置帮教工作。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(5)监督管理全县法律援助工作。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(6)指导管理全县司法行政系统计划财务、服装和警车管理工作。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(7)指导全县司法行政系统队伍建设、党组织建设和思想政治工作；指导管理司法行政系统的教育培训、考核奖励和警务工作。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(8)监督指导全县人民监督员的选任、培训和考核等管理工作。</w:t>
      </w:r>
    </w:p>
    <w:p w:rsidR="00E7273E" w:rsidRDefault="00E7273E" w:rsidP="00DC641E">
      <w:pPr>
        <w:widowControl/>
        <w:shd w:val="clear" w:color="auto" w:fill="FFFFFF"/>
        <w:spacing w:line="4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(9)指导管理全县司法行政系统干警培训和政法招录干警培养等职责。</w:t>
      </w:r>
    </w:p>
    <w:p w:rsidR="00794600" w:rsidRDefault="00E7273E" w:rsidP="00DC641E">
      <w:pPr>
        <w:spacing w:line="46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(10)承办县人民政府交办的其他事项。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在今年收支预算内，确保完成以下整体目标：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保障司法局在职人员及离退休人员的正常办公、生活秩序。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切实做好普法工作，组织好宣传活动，提升公民的整体法治意识和法律素养。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做好为民办实事工作，法律援助做到应援尽援，维护弱势群体的合法权益。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确保社区矫正人员无脱管、漏管现象发生。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依法依规及时进行人民调解，将矛盾化解在基层，充分发挥第一道防线的作用。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指导、监督好全县行政复议和行政应诉工作，承担好行政复议应诉案件统计分析工作、行政复议宣传工作。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指导、监督全县各部门（单位）行政执法工作，推进严格规范公正文明执法。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完成全面依法治县相关工作</w:t>
      </w:r>
      <w:r w:rsidR="00E7273E">
        <w:rPr>
          <w:rFonts w:ascii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794600" w:rsidRDefault="00DC641E" w:rsidP="00DC641E">
      <w:pPr>
        <w:snapToGrid w:val="0"/>
        <w:spacing w:line="460" w:lineRule="exac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/>
        </w:rPr>
        <w:t>二、部门整体支出管理及使用情况</w:t>
      </w:r>
    </w:p>
    <w:p w:rsidR="00794600" w:rsidRDefault="00DC641E" w:rsidP="00DC641E">
      <w:pPr>
        <w:pStyle w:val="1"/>
        <w:widowControl/>
        <w:spacing w:line="460" w:lineRule="exact"/>
        <w:ind w:left="640" w:firstLineChars="0" w:firstLine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lastRenderedPageBreak/>
        <w:t>（一）</w:t>
      </w:r>
      <w:r>
        <w:rPr>
          <w:rFonts w:eastAsia="楷体_GB2312" w:hint="eastAsia"/>
          <w:sz w:val="32"/>
          <w:szCs w:val="32"/>
        </w:rPr>
        <w:t>部门</w:t>
      </w:r>
      <w:r>
        <w:rPr>
          <w:rFonts w:eastAsia="楷体_GB2312"/>
          <w:sz w:val="32"/>
          <w:szCs w:val="32"/>
        </w:rPr>
        <w:t>预决算情况</w:t>
      </w:r>
    </w:p>
    <w:p w:rsidR="00794600" w:rsidRDefault="00DC641E" w:rsidP="00DC641E">
      <w:pPr>
        <w:spacing w:line="4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>部门预算情况</w:t>
      </w:r>
    </w:p>
    <w:p w:rsidR="00671D43" w:rsidRDefault="00671D43" w:rsidP="00DC641E">
      <w:pPr>
        <w:snapToGrid w:val="0"/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2024年年初预算本年收入834.65万元，同比增加80.09万元，增长10.61%。主要原因是2024年预算收入中加入了人员经费的住房公积金部分，且辅警经费从县级预算转入了单位预算，导致预算比2023年有所增加。</w:t>
      </w:r>
    </w:p>
    <w:p w:rsidR="00794600" w:rsidRPr="00671D43" w:rsidRDefault="00671D43" w:rsidP="00DC641E">
      <w:pPr>
        <w:snapToGrid w:val="0"/>
        <w:spacing w:line="460" w:lineRule="exact"/>
        <w:ind w:firstLineChars="200" w:firstLine="640"/>
        <w:rPr>
          <w:rFonts w:ascii="仿宋_GB2312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2024年年初预算本年支出834.65万元，同比增加80.09万元，增长10.61%。主要原因是2023年预算支出加入了人员经费的住房公积金部分，且辅警经费从县级预算转入了单位预算，导致预算支出比2023年有所增加。</w:t>
      </w:r>
    </w:p>
    <w:p w:rsidR="00794600" w:rsidRDefault="00DC641E" w:rsidP="00DC641E">
      <w:pPr>
        <w:spacing w:line="4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>部门决算情况（含年中预算追加情况）</w:t>
      </w:r>
    </w:p>
    <w:p w:rsidR="00671D43" w:rsidRDefault="00671D43" w:rsidP="00DC641E">
      <w:pPr>
        <w:snapToGrid w:val="0"/>
        <w:spacing w:line="4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2024年本年总收入986.38万元，同比减少185.76万元，下降15.85%。主要原因是2021年和2022绩效考核奖金均2023年年初拨付，且2022年年底的智慧矫正项目经费在2023年拨付，2024年无这部分支出，故2023年支出较大。</w:t>
      </w:r>
    </w:p>
    <w:p w:rsidR="00794600" w:rsidRDefault="00671D43" w:rsidP="00DC641E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本年总支出1001.51万元，同比减少173.86万元，下降14.79%。主要原因是2021年和2022绩效考核奖金均2023年年初支付，且2022年年底的智慧矫正项目经费在2023年支付，2024年无这部分支出，故较2023年相比，2024年支出较少。</w:t>
      </w:r>
    </w:p>
    <w:p w:rsidR="00794600" w:rsidRDefault="00DC641E" w:rsidP="00DC641E">
      <w:pPr>
        <w:spacing w:line="46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（二）部门预算执行情况</w:t>
      </w:r>
    </w:p>
    <w:p w:rsidR="00794600" w:rsidRDefault="00DC641E" w:rsidP="00DC641E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.“</w:t>
      </w:r>
      <w:r>
        <w:rPr>
          <w:sz w:val="32"/>
          <w:szCs w:val="32"/>
        </w:rPr>
        <w:t>三公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经费执行情况</w:t>
      </w:r>
    </w:p>
    <w:p w:rsidR="00794600" w:rsidRDefault="00671D43" w:rsidP="00DC641E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2024年“三公”经费支出</w:t>
      </w:r>
      <w:r w:rsidR="00B347FB">
        <w:rPr>
          <w:rFonts w:ascii="仿宋" w:eastAsia="仿宋" w:hAnsi="仿宋" w:hint="eastAsia"/>
          <w:sz w:val="32"/>
          <w:szCs w:val="32"/>
        </w:rPr>
        <w:t>7.36</w:t>
      </w:r>
      <w:r>
        <w:rPr>
          <w:rFonts w:ascii="仿宋" w:eastAsia="仿宋" w:hAnsi="仿宋" w:hint="eastAsia"/>
          <w:sz w:val="32"/>
          <w:szCs w:val="32"/>
        </w:rPr>
        <w:t>万元，其中：公务用车运行维护费5.82万元，公务接待费</w:t>
      </w:r>
      <w:r w:rsidR="00B347FB">
        <w:rPr>
          <w:rFonts w:ascii="仿宋" w:eastAsia="仿宋" w:hAnsi="仿宋" w:hint="eastAsia"/>
          <w:sz w:val="32"/>
          <w:szCs w:val="32"/>
        </w:rPr>
        <w:t>1.54</w:t>
      </w:r>
      <w:r>
        <w:rPr>
          <w:rFonts w:ascii="仿宋" w:eastAsia="仿宋" w:hAnsi="仿宋" w:hint="eastAsia"/>
          <w:sz w:val="32"/>
          <w:szCs w:val="32"/>
        </w:rPr>
        <w:t>万元。同比</w:t>
      </w:r>
      <w:r w:rsidR="00B347FB">
        <w:rPr>
          <w:rFonts w:ascii="仿宋" w:eastAsia="仿宋" w:hAnsi="仿宋" w:hint="eastAsia"/>
          <w:sz w:val="32"/>
          <w:szCs w:val="32"/>
        </w:rPr>
        <w:t>减少0.97</w:t>
      </w:r>
      <w:r>
        <w:rPr>
          <w:rFonts w:ascii="仿宋" w:eastAsia="仿宋" w:hAnsi="仿宋" w:cs="仿宋" w:hint="eastAsia"/>
          <w:sz w:val="32"/>
          <w:szCs w:val="32"/>
        </w:rPr>
        <w:t>万元，</w:t>
      </w:r>
      <w:r w:rsidR="00B347FB">
        <w:rPr>
          <w:rFonts w:ascii="仿宋" w:eastAsia="仿宋" w:hAnsi="仿宋" w:cs="仿宋" w:hint="eastAsia"/>
          <w:sz w:val="32"/>
          <w:szCs w:val="32"/>
        </w:rPr>
        <w:t>下降11.64</w:t>
      </w:r>
      <w:r>
        <w:rPr>
          <w:rFonts w:ascii="仿宋" w:eastAsia="仿宋" w:hAnsi="仿宋" w:cs="仿宋" w:hint="eastAsia"/>
          <w:sz w:val="32"/>
          <w:szCs w:val="32"/>
        </w:rPr>
        <w:t>%。2024年“三公”经费预算20万元，全年实际支出较预算减少了11.14万元。全年人均“三公”支出0.19万元，较上年减少0.01万元，基本与上年一致。至2024年年底，司法局公务用车保有量为2辆，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无因公出国（境）团组数。</w:t>
      </w:r>
    </w:p>
    <w:p w:rsidR="00794600" w:rsidRDefault="00DC641E" w:rsidP="00DC641E">
      <w:pPr>
        <w:spacing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sz w:val="32"/>
          <w:szCs w:val="32"/>
        </w:rPr>
        <w:t>政府采购执行情况</w:t>
      </w:r>
    </w:p>
    <w:p w:rsidR="00794600" w:rsidRDefault="00DC641E" w:rsidP="00DC641E">
      <w:pPr>
        <w:spacing w:line="46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sz w:val="32"/>
          <w:szCs w:val="32"/>
        </w:rPr>
        <w:t>202</w:t>
      </w:r>
      <w:r w:rsidR="00D77B32"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年度政府采购支出</w:t>
      </w:r>
      <w:r w:rsidR="00B347FB">
        <w:rPr>
          <w:rFonts w:hint="eastAsia"/>
          <w:sz w:val="32"/>
          <w:szCs w:val="32"/>
        </w:rPr>
        <w:t>108.59</w:t>
      </w:r>
      <w:r>
        <w:rPr>
          <w:sz w:val="32"/>
          <w:szCs w:val="32"/>
        </w:rPr>
        <w:t>万元，其中：货物</w:t>
      </w:r>
      <w:r w:rsidR="00B347FB">
        <w:rPr>
          <w:rFonts w:hint="eastAsia"/>
          <w:sz w:val="32"/>
          <w:szCs w:val="32"/>
        </w:rPr>
        <w:t>37.29</w:t>
      </w:r>
      <w:r>
        <w:rPr>
          <w:rFonts w:hint="eastAsia"/>
          <w:sz w:val="32"/>
          <w:szCs w:val="32"/>
        </w:rPr>
        <w:t>万</w:t>
      </w:r>
      <w:r>
        <w:rPr>
          <w:sz w:val="32"/>
          <w:szCs w:val="32"/>
        </w:rPr>
        <w:t>元，工程</w:t>
      </w:r>
      <w:r w:rsidR="00B347FB">
        <w:rPr>
          <w:rFonts w:hint="eastAsia"/>
          <w:sz w:val="32"/>
          <w:szCs w:val="32"/>
        </w:rPr>
        <w:t>12.29</w:t>
      </w:r>
      <w:r>
        <w:rPr>
          <w:sz w:val="32"/>
          <w:szCs w:val="32"/>
        </w:rPr>
        <w:t>万元，服务</w:t>
      </w:r>
      <w:r w:rsidR="00B347FB">
        <w:rPr>
          <w:rFonts w:hint="eastAsia"/>
          <w:sz w:val="32"/>
          <w:szCs w:val="32"/>
        </w:rPr>
        <w:t>59.01</w:t>
      </w:r>
      <w:r>
        <w:rPr>
          <w:sz w:val="32"/>
          <w:szCs w:val="32"/>
        </w:rPr>
        <w:t>万元。</w:t>
      </w:r>
    </w:p>
    <w:p w:rsidR="00794600" w:rsidRDefault="00DC641E" w:rsidP="00DC641E">
      <w:pPr>
        <w:pStyle w:val="a4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lastRenderedPageBreak/>
        <w:t>政府性基金预算支出情况</w:t>
      </w:r>
    </w:p>
    <w:p w:rsidR="00794600" w:rsidRDefault="00DC641E" w:rsidP="00DC641E">
      <w:pPr>
        <w:pStyle w:val="1"/>
        <w:widowControl/>
        <w:spacing w:line="46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kern w:val="0"/>
          <w:sz w:val="32"/>
          <w:szCs w:val="32"/>
        </w:rPr>
        <w:t>无。</w:t>
      </w:r>
    </w:p>
    <w:p w:rsidR="00794600" w:rsidRDefault="00DC641E" w:rsidP="00DC641E">
      <w:pPr>
        <w:pStyle w:val="a4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国有资本经营预算支出情况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t>无。</w:t>
      </w:r>
    </w:p>
    <w:p w:rsidR="00794600" w:rsidRDefault="00DC641E" w:rsidP="00DC641E">
      <w:pPr>
        <w:pStyle w:val="a4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社会保险基金预算支出情况</w:t>
      </w:r>
    </w:p>
    <w:p w:rsidR="00794600" w:rsidRDefault="00DC641E" w:rsidP="00DC641E">
      <w:pPr>
        <w:pStyle w:val="1"/>
        <w:widowControl/>
        <w:spacing w:line="460" w:lineRule="exact"/>
        <w:ind w:firstLine="640"/>
        <w:jc w:val="lef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kern w:val="0"/>
          <w:sz w:val="32"/>
          <w:szCs w:val="32"/>
        </w:rPr>
        <w:t>无</w:t>
      </w:r>
      <w:r>
        <w:rPr>
          <w:rFonts w:hint="eastAsia"/>
          <w:kern w:val="0"/>
          <w:sz w:val="32"/>
          <w:szCs w:val="32"/>
        </w:rPr>
        <w:t>。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六、部门整体支出绩效情况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 w:rsidR="00794600" w:rsidRDefault="00DC641E" w:rsidP="00DC641E">
      <w:p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B347F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年以来，</w:t>
      </w:r>
      <w:r>
        <w:rPr>
          <w:rFonts w:ascii="仿宋" w:eastAsia="仿宋" w:hAnsi="仿宋" w:cs="仿宋" w:hint="eastAsia"/>
          <w:sz w:val="32"/>
          <w:szCs w:val="32"/>
        </w:rPr>
        <w:t>城步</w:t>
      </w:r>
      <w:r>
        <w:rPr>
          <w:rFonts w:ascii="仿宋" w:eastAsia="仿宋" w:hAnsi="仿宋" w:cs="仿宋" w:hint="eastAsia"/>
          <w:sz w:val="32"/>
          <w:szCs w:val="32"/>
        </w:rPr>
        <w:t>县</w:t>
      </w:r>
      <w:r>
        <w:rPr>
          <w:rFonts w:ascii="仿宋" w:eastAsia="仿宋" w:hAnsi="仿宋" w:cs="仿宋" w:hint="eastAsia"/>
          <w:sz w:val="32"/>
          <w:szCs w:val="32"/>
        </w:rPr>
        <w:t>司法</w:t>
      </w:r>
      <w:r>
        <w:rPr>
          <w:rFonts w:ascii="仿宋" w:eastAsia="仿宋" w:hAnsi="仿宋" w:cs="仿宋" w:hint="eastAsia"/>
          <w:sz w:val="32"/>
          <w:szCs w:val="32"/>
        </w:rPr>
        <w:t>局在县委、县政府的</w:t>
      </w:r>
      <w:r>
        <w:rPr>
          <w:rFonts w:ascii="仿宋" w:eastAsia="仿宋" w:hAnsi="仿宋" w:cs="仿宋" w:hint="eastAsia"/>
          <w:sz w:val="32"/>
          <w:szCs w:val="32"/>
        </w:rPr>
        <w:t>正确领导和市司法局的精心指导下</w:t>
      </w:r>
      <w:r>
        <w:rPr>
          <w:rFonts w:ascii="仿宋" w:eastAsia="仿宋" w:hAnsi="仿宋" w:cs="仿宋" w:hint="eastAsia"/>
          <w:sz w:val="32"/>
          <w:szCs w:val="32"/>
        </w:rPr>
        <w:t>，以</w:t>
      </w:r>
      <w:r>
        <w:rPr>
          <w:rFonts w:ascii="仿宋" w:eastAsia="仿宋" w:hAnsi="仿宋" w:cs="仿宋" w:hint="eastAsia"/>
          <w:sz w:val="32"/>
          <w:szCs w:val="32"/>
        </w:rPr>
        <w:t>党的二十大精神</w:t>
      </w:r>
      <w:r>
        <w:rPr>
          <w:rFonts w:ascii="仿宋" w:eastAsia="仿宋" w:hAnsi="仿宋" w:cs="仿宋" w:hint="eastAsia"/>
          <w:sz w:val="32"/>
          <w:szCs w:val="32"/>
        </w:rPr>
        <w:t>和习近平新时代中国特色社会主义思想</w:t>
      </w:r>
      <w:r>
        <w:rPr>
          <w:rFonts w:ascii="仿宋" w:eastAsia="仿宋" w:hAnsi="仿宋" w:cs="仿宋" w:hint="eastAsia"/>
          <w:sz w:val="32"/>
          <w:szCs w:val="32"/>
        </w:rPr>
        <w:t>和习近平法治思想</w:t>
      </w:r>
      <w:r>
        <w:rPr>
          <w:rFonts w:ascii="仿宋" w:eastAsia="仿宋" w:hAnsi="仿宋" w:cs="仿宋" w:hint="eastAsia"/>
          <w:sz w:val="32"/>
          <w:szCs w:val="32"/>
        </w:rPr>
        <w:t>为指导，深入贯彻落实司法部、省、市司法行政工作会议精神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认真</w:t>
      </w:r>
      <w:r>
        <w:rPr>
          <w:rFonts w:ascii="仿宋" w:eastAsia="仿宋" w:hAnsi="仿宋" w:cs="仿宋" w:hint="eastAsia"/>
          <w:sz w:val="32"/>
          <w:szCs w:val="32"/>
        </w:rPr>
        <w:t>做好了</w:t>
      </w:r>
      <w:r>
        <w:rPr>
          <w:rFonts w:ascii="仿宋" w:eastAsia="仿宋" w:hAnsi="仿宋" w:cs="仿宋" w:hint="eastAsia"/>
          <w:sz w:val="32"/>
          <w:szCs w:val="32"/>
        </w:rPr>
        <w:t>人民调解、</w:t>
      </w:r>
      <w:r>
        <w:rPr>
          <w:rFonts w:ascii="仿宋" w:eastAsia="仿宋" w:hAnsi="仿宋" w:cs="仿宋" w:hint="eastAsia"/>
          <w:sz w:val="32"/>
          <w:szCs w:val="32"/>
        </w:rPr>
        <w:t>法</w:t>
      </w:r>
      <w:r>
        <w:rPr>
          <w:rFonts w:ascii="仿宋" w:eastAsia="仿宋" w:hAnsi="仿宋" w:cs="仿宋" w:hint="eastAsia"/>
          <w:sz w:val="32"/>
          <w:szCs w:val="32"/>
        </w:rPr>
        <w:t>治</w:t>
      </w:r>
      <w:r>
        <w:rPr>
          <w:rFonts w:ascii="仿宋" w:eastAsia="仿宋" w:hAnsi="仿宋" w:cs="仿宋" w:hint="eastAsia"/>
          <w:sz w:val="32"/>
          <w:szCs w:val="32"/>
        </w:rPr>
        <w:t>宣传</w:t>
      </w:r>
      <w:r>
        <w:rPr>
          <w:rFonts w:ascii="仿宋" w:eastAsia="仿宋" w:hAnsi="仿宋" w:cs="仿宋" w:hint="eastAsia"/>
          <w:sz w:val="32"/>
          <w:szCs w:val="32"/>
        </w:rPr>
        <w:t>、法律服务、社区矫正、法律援助等工作，</w:t>
      </w:r>
      <w:r>
        <w:rPr>
          <w:rFonts w:ascii="仿宋" w:eastAsia="仿宋" w:hAnsi="仿宋" w:cs="仿宋" w:hint="eastAsia"/>
          <w:sz w:val="32"/>
          <w:szCs w:val="32"/>
        </w:rPr>
        <w:t>较好地完成</w:t>
      </w:r>
      <w:r>
        <w:rPr>
          <w:rFonts w:ascii="仿宋" w:eastAsia="仿宋" w:hAnsi="仿宋" w:cs="仿宋" w:hint="eastAsia"/>
          <w:sz w:val="32"/>
          <w:szCs w:val="32"/>
        </w:rPr>
        <w:t>了</w:t>
      </w:r>
      <w:r>
        <w:rPr>
          <w:rFonts w:ascii="仿宋" w:eastAsia="仿宋" w:hAnsi="仿宋" w:cs="仿宋" w:hint="eastAsia"/>
          <w:sz w:val="32"/>
          <w:szCs w:val="32"/>
        </w:rPr>
        <w:t>各项</w:t>
      </w:r>
      <w:r>
        <w:rPr>
          <w:rFonts w:ascii="仿宋" w:eastAsia="仿宋" w:hAnsi="仿宋" w:cs="仿宋" w:hint="eastAsia"/>
          <w:sz w:val="32"/>
          <w:szCs w:val="32"/>
        </w:rPr>
        <w:t>司法行政工作任务。</w:t>
      </w:r>
    </w:p>
    <w:p w:rsidR="00794600" w:rsidRDefault="00DC641E" w:rsidP="00DC641E">
      <w:pPr>
        <w:pStyle w:val="a3"/>
        <w:spacing w:line="460" w:lineRule="exact"/>
        <w:ind w:firstLineChars="250" w:firstLine="80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B347F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总体绩效目标完成较好，基本按照绩效目标计划实施，保障推进了司法行政改革重点任务、重点工作，取得了良好的社会效益和经济效益，同时切实解决了基层经费不足的实际困难，在维护社会稳定中起到了切实、有效的保障作用。</w:t>
      </w:r>
    </w:p>
    <w:p w:rsidR="00794600" w:rsidRDefault="00DC641E" w:rsidP="00DC641E">
      <w:pPr>
        <w:pStyle w:val="a4"/>
        <w:widowControl/>
        <w:numPr>
          <w:ilvl w:val="0"/>
          <w:numId w:val="3"/>
        </w:numPr>
        <w:shd w:val="clear" w:color="auto" w:fill="FFFFFF"/>
        <w:snapToGrid w:val="0"/>
        <w:spacing w:beforeAutospacing="0" w:afterAutospacing="0" w:line="460" w:lineRule="exact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评价指标分析（或综合评价情况）。</w:t>
      </w:r>
    </w:p>
    <w:p w:rsidR="00794600" w:rsidRDefault="00DC641E" w:rsidP="00DC641E">
      <w:pPr>
        <w:pStyle w:val="a4"/>
        <w:widowControl/>
        <w:numPr>
          <w:ilvl w:val="0"/>
          <w:numId w:val="4"/>
        </w:numPr>
        <w:shd w:val="clear" w:color="auto" w:fill="FFFFFF"/>
        <w:snapToGrid w:val="0"/>
        <w:spacing w:beforeAutospacing="0" w:afterAutospacing="0" w:line="4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数量指标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B347F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年，城步司法局法律援助中心共受理、办理法律援助案件</w:t>
      </w:r>
      <w:r w:rsidR="00B347FB">
        <w:rPr>
          <w:rFonts w:ascii="仿宋" w:eastAsia="仿宋" w:hAnsi="仿宋" w:cs="仿宋" w:hint="eastAsia"/>
          <w:sz w:val="32"/>
          <w:szCs w:val="32"/>
        </w:rPr>
        <w:t>297</w:t>
      </w:r>
      <w:r>
        <w:rPr>
          <w:rFonts w:ascii="仿宋" w:eastAsia="仿宋" w:hAnsi="仿宋" w:cs="仿宋" w:hint="eastAsia"/>
          <w:sz w:val="32"/>
          <w:szCs w:val="32"/>
        </w:rPr>
        <w:t>件，</w:t>
      </w:r>
      <w:r w:rsidR="00B347FB">
        <w:rPr>
          <w:rFonts w:ascii="仿宋" w:eastAsia="仿宋" w:hAnsi="仿宋" w:cs="仿宋" w:hint="eastAsia"/>
          <w:sz w:val="32"/>
          <w:szCs w:val="32"/>
        </w:rPr>
        <w:t>完成</w:t>
      </w:r>
      <w:r w:rsidR="00B30332">
        <w:rPr>
          <w:rFonts w:ascii="仿宋" w:eastAsia="仿宋" w:hAnsi="仿宋" w:cs="仿宋" w:hint="eastAsia"/>
          <w:sz w:val="32"/>
          <w:szCs w:val="32"/>
        </w:rPr>
        <w:t>省定任务的123.7%，完成市定任务的112.5%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95%</w:t>
      </w:r>
      <w:r>
        <w:rPr>
          <w:rFonts w:ascii="仿宋" w:eastAsia="仿宋" w:hAnsi="仿宋" w:cs="仿宋" w:hint="eastAsia"/>
          <w:sz w:val="32"/>
          <w:szCs w:val="32"/>
        </w:rPr>
        <w:t>的申请类法律援助案件实行了经济困难证明事项告知承诺制，法律援助申请人无需再找相关部门出具经济状况证明表</w:t>
      </w:r>
      <w:r>
        <w:rPr>
          <w:rFonts w:ascii="仿宋" w:eastAsia="仿宋" w:hAnsi="仿宋" w:cs="仿宋" w:hint="eastAsia"/>
          <w:sz w:val="32"/>
          <w:szCs w:val="32"/>
        </w:rPr>
        <w:t>，将县委、县政府“</w:t>
      </w:r>
      <w:r>
        <w:rPr>
          <w:rFonts w:ascii="仿宋" w:eastAsia="仿宋" w:hAnsi="仿宋" w:cs="仿宋" w:hint="eastAsia"/>
          <w:sz w:val="32"/>
          <w:szCs w:val="32"/>
        </w:rPr>
        <w:t>一件事一次办”的要求真真切切落到了工作实处；公检法通知的法律援助案件，指派律师提供辩护的比例达到</w:t>
      </w:r>
      <w:r>
        <w:rPr>
          <w:rFonts w:ascii="仿宋" w:eastAsia="仿宋" w:hAnsi="仿宋" w:cs="仿宋" w:hint="eastAsia"/>
          <w:sz w:val="32"/>
          <w:szCs w:val="32"/>
        </w:rPr>
        <w:t>100%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_GB2312" w:hAnsi="仿宋_GB2312" w:cs="仿宋_GB2312" w:hint="eastAsia"/>
          <w:sz w:val="32"/>
          <w:szCs w:val="32"/>
        </w:rPr>
        <w:t>积极</w:t>
      </w:r>
      <w:r>
        <w:rPr>
          <w:rFonts w:ascii="仿宋_GB2312" w:hAnsi="仿宋_GB2312" w:cs="仿宋_GB2312" w:hint="eastAsia"/>
          <w:sz w:val="32"/>
          <w:szCs w:val="32"/>
        </w:rPr>
        <w:t>完善“一村一法律顾问”制度</w:t>
      </w:r>
      <w:r>
        <w:rPr>
          <w:rFonts w:ascii="仿宋_GB2312" w:hAnsi="仿宋_GB2312" w:cs="仿宋_GB2312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组织律师、基层法律服务工作者等公共法律服务行业的从业人员深入企业，帮助企业预防、减少法律风险，助力企业稳步发展。</w:t>
      </w:r>
    </w:p>
    <w:p w:rsidR="00794600" w:rsidRDefault="00DC641E" w:rsidP="00DC641E">
      <w:pPr>
        <w:pStyle w:val="a4"/>
        <w:widowControl/>
        <w:numPr>
          <w:ilvl w:val="0"/>
          <w:numId w:val="4"/>
        </w:numPr>
        <w:shd w:val="clear" w:color="auto" w:fill="FFFFFF"/>
        <w:snapToGrid w:val="0"/>
        <w:spacing w:beforeAutospacing="0" w:afterAutospacing="0" w:line="4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质量指标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我</w:t>
      </w:r>
      <w:r>
        <w:rPr>
          <w:rFonts w:ascii="仿宋" w:eastAsia="仿宋" w:hAnsi="仿宋" w:cs="仿宋_GB2312" w:hint="eastAsia"/>
          <w:sz w:val="32"/>
          <w:szCs w:val="32"/>
        </w:rPr>
        <w:t>县</w:t>
      </w:r>
      <w:r>
        <w:rPr>
          <w:rFonts w:ascii="仿宋" w:eastAsia="仿宋" w:hAnsi="仿宋" w:cs="仿宋_GB2312" w:hint="eastAsia"/>
          <w:sz w:val="32"/>
          <w:szCs w:val="32"/>
        </w:rPr>
        <w:t>社区矫正</w:t>
      </w:r>
      <w:r w:rsidR="00B30332">
        <w:rPr>
          <w:rFonts w:ascii="仿宋" w:eastAsia="仿宋" w:hAnsi="仿宋" w:cs="仿宋_GB2312" w:hint="eastAsia"/>
          <w:sz w:val="32"/>
          <w:szCs w:val="32"/>
        </w:rPr>
        <w:t>对象</w:t>
      </w:r>
      <w:r>
        <w:rPr>
          <w:rFonts w:ascii="仿宋" w:eastAsia="仿宋" w:hAnsi="仿宋" w:cs="仿宋_GB2312" w:hint="eastAsia"/>
          <w:sz w:val="32"/>
          <w:szCs w:val="32"/>
        </w:rPr>
        <w:t>目前在册</w:t>
      </w:r>
      <w:r w:rsidR="00B30332">
        <w:rPr>
          <w:rFonts w:ascii="仿宋" w:eastAsia="仿宋" w:hAnsi="仿宋" w:cs="仿宋_GB2312" w:hint="eastAsia"/>
          <w:sz w:val="32"/>
          <w:szCs w:val="32"/>
        </w:rPr>
        <w:t>77</w:t>
      </w:r>
      <w:r>
        <w:rPr>
          <w:rFonts w:ascii="仿宋" w:eastAsia="仿宋" w:hAnsi="仿宋" w:cs="仿宋_GB2312" w:hint="eastAsia"/>
          <w:sz w:val="32"/>
          <w:szCs w:val="32"/>
        </w:rPr>
        <w:t>人，</w:t>
      </w:r>
      <w:r w:rsidR="00B30332">
        <w:rPr>
          <w:rFonts w:ascii="仿宋" w:eastAsia="仿宋" w:hAnsi="仿宋" w:cs="仿宋_GB2312" w:hint="eastAsia"/>
          <w:sz w:val="32"/>
          <w:szCs w:val="32"/>
        </w:rPr>
        <w:t>2024年对矫正对象警告6人次，训诫4人次，执行地变更4人次，对暂予监外执行对象建议收监执行2人次；安置帮教人员983人，衔接核实率100%，帮教率100%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kern w:val="2"/>
          <w:sz w:val="32"/>
          <w:szCs w:val="32"/>
        </w:rPr>
        <w:t>积极走访刑满释放人员，落实帮教措施。</w:t>
      </w:r>
    </w:p>
    <w:p w:rsidR="00794600" w:rsidRDefault="00DC641E" w:rsidP="00DC641E">
      <w:pPr>
        <w:pStyle w:val="a4"/>
        <w:widowControl/>
        <w:numPr>
          <w:ilvl w:val="0"/>
          <w:numId w:val="4"/>
        </w:numPr>
        <w:shd w:val="clear" w:color="auto" w:fill="FFFFFF"/>
        <w:snapToGrid w:val="0"/>
        <w:spacing w:beforeAutospacing="0" w:afterAutospacing="0" w:line="4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成本指标</w:t>
      </w:r>
    </w:p>
    <w:p w:rsidR="00794600" w:rsidRDefault="00DC641E" w:rsidP="00DC641E">
      <w:pPr>
        <w:spacing w:line="460" w:lineRule="exact"/>
        <w:ind w:firstLineChars="200" w:firstLine="664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pacing w:val="6"/>
          <w:sz w:val="32"/>
          <w:szCs w:val="32"/>
        </w:rPr>
        <w:t>202</w:t>
      </w:r>
      <w:r w:rsidR="00B347FB">
        <w:rPr>
          <w:rFonts w:hint="eastAsia"/>
          <w:spacing w:val="6"/>
          <w:sz w:val="32"/>
          <w:szCs w:val="32"/>
        </w:rPr>
        <w:t>4</w:t>
      </w:r>
      <w:r>
        <w:rPr>
          <w:rFonts w:hint="eastAsia"/>
          <w:spacing w:val="6"/>
          <w:sz w:val="32"/>
          <w:szCs w:val="32"/>
        </w:rPr>
        <w:t>年预算收支</w:t>
      </w:r>
      <w:r>
        <w:rPr>
          <w:spacing w:val="6"/>
          <w:sz w:val="32"/>
          <w:szCs w:val="32"/>
        </w:rPr>
        <w:t>严格按</w:t>
      </w:r>
      <w:r>
        <w:rPr>
          <w:color w:val="000000"/>
          <w:spacing w:val="6"/>
          <w:sz w:val="32"/>
          <w:szCs w:val="32"/>
        </w:rPr>
        <w:t>照《会计法》、《预算法》、财政部、司法部下发的《司法行政机关财务管理办法》和司法局《财务管理制度》执行，</w:t>
      </w:r>
      <w:r>
        <w:rPr>
          <w:color w:val="000000"/>
          <w:spacing w:val="6"/>
          <w:kern w:val="0"/>
          <w:sz w:val="32"/>
          <w:szCs w:val="32"/>
        </w:rPr>
        <w:t>各项支出均符合司法行政业务发展规划和相关政策要求，资金使用做到了专款专用，单独核算；支出票据来源合法、内容真实、使用正确；</w:t>
      </w:r>
      <w:r>
        <w:rPr>
          <w:color w:val="000000"/>
          <w:spacing w:val="6"/>
          <w:sz w:val="32"/>
          <w:szCs w:val="32"/>
        </w:rPr>
        <w:t>财务处理及时、报销手续完备、会计核算规范。</w:t>
      </w:r>
    </w:p>
    <w:p w:rsidR="00794600" w:rsidRDefault="00DC641E" w:rsidP="00DC641E">
      <w:pPr>
        <w:pStyle w:val="a4"/>
        <w:widowControl/>
        <w:numPr>
          <w:ilvl w:val="0"/>
          <w:numId w:val="4"/>
        </w:numPr>
        <w:shd w:val="clear" w:color="auto" w:fill="FFFFFF"/>
        <w:snapToGrid w:val="0"/>
        <w:spacing w:beforeAutospacing="0" w:afterAutospacing="0" w:line="4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经济效益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为最大限度把矛盾纠纷化解在基层，消除在萌芽状态，我局坚持普遍排查与专项排查相结合，建立分类台账，采取对应处置措施，做到早发现、早调处、早化解。今年共</w:t>
      </w:r>
      <w:r w:rsidR="00B30332">
        <w:rPr>
          <w:rFonts w:ascii="仿宋" w:eastAsia="仿宋" w:hAnsi="仿宋" w:cs="仿宋_GB2312" w:hint="eastAsia"/>
          <w:sz w:val="32"/>
          <w:szCs w:val="32"/>
        </w:rPr>
        <w:t>排查</w:t>
      </w:r>
      <w:r>
        <w:rPr>
          <w:rFonts w:ascii="仿宋" w:eastAsia="仿宋" w:hAnsi="仿宋" w:cs="仿宋_GB2312" w:hint="eastAsia"/>
          <w:sz w:val="32"/>
          <w:szCs w:val="32"/>
        </w:rPr>
        <w:t>各类矛盾纠纷</w:t>
      </w:r>
      <w:r w:rsidR="00B30332">
        <w:rPr>
          <w:rFonts w:ascii="仿宋" w:eastAsia="仿宋" w:hAnsi="仿宋" w:cs="仿宋_GB2312" w:hint="eastAsia"/>
          <w:sz w:val="32"/>
          <w:szCs w:val="32"/>
        </w:rPr>
        <w:t>5803</w:t>
      </w:r>
      <w:r>
        <w:rPr>
          <w:rFonts w:ascii="仿宋" w:eastAsia="仿宋" w:hAnsi="仿宋" w:cs="仿宋_GB2312" w:hint="eastAsia"/>
          <w:sz w:val="32"/>
          <w:szCs w:val="32"/>
        </w:rPr>
        <w:t>件，</w:t>
      </w:r>
      <w:r w:rsidR="00B30332">
        <w:rPr>
          <w:rFonts w:ascii="仿宋" w:eastAsia="仿宋" w:hAnsi="仿宋" w:cs="仿宋_GB2312" w:hint="eastAsia"/>
          <w:sz w:val="32"/>
          <w:szCs w:val="32"/>
        </w:rPr>
        <w:t>调处1456件，</w:t>
      </w:r>
      <w:r>
        <w:rPr>
          <w:rFonts w:ascii="仿宋" w:eastAsia="仿宋" w:hAnsi="仿宋" w:cs="仿宋_GB2312" w:hint="eastAsia"/>
          <w:sz w:val="32"/>
          <w:szCs w:val="32"/>
        </w:rPr>
        <w:t>调解成功率为</w:t>
      </w:r>
      <w:r w:rsidR="00B30332">
        <w:rPr>
          <w:rFonts w:ascii="仿宋" w:eastAsia="仿宋" w:hAnsi="仿宋" w:cs="仿宋_GB2312" w:hint="eastAsia"/>
          <w:sz w:val="32"/>
          <w:szCs w:val="32"/>
        </w:rPr>
        <w:t>98</w:t>
      </w:r>
      <w:r>
        <w:rPr>
          <w:rFonts w:ascii="仿宋" w:eastAsia="仿宋" w:hAnsi="仿宋" w:cs="仿宋_GB2312" w:hint="eastAsia"/>
          <w:sz w:val="32"/>
          <w:szCs w:val="32"/>
        </w:rPr>
        <w:t>%</w:t>
      </w:r>
      <w:r>
        <w:rPr>
          <w:rFonts w:ascii="仿宋" w:eastAsia="仿宋" w:hAnsi="仿宋" w:cs="仿宋_GB2312" w:hint="eastAsia"/>
          <w:sz w:val="32"/>
          <w:szCs w:val="32"/>
        </w:rPr>
        <w:t>，纠纷涉及金额</w:t>
      </w:r>
      <w:r w:rsidR="00B30332">
        <w:rPr>
          <w:rFonts w:ascii="仿宋" w:eastAsia="仿宋" w:hAnsi="仿宋" w:cs="仿宋_GB2312" w:hint="eastAsia"/>
          <w:sz w:val="32"/>
          <w:szCs w:val="32"/>
        </w:rPr>
        <w:t>721.89</w:t>
      </w:r>
      <w:r>
        <w:rPr>
          <w:rFonts w:ascii="仿宋" w:eastAsia="仿宋" w:hAnsi="仿宋" w:cs="仿宋_GB2312" w:hint="eastAsia"/>
          <w:sz w:val="32"/>
          <w:szCs w:val="32"/>
        </w:rPr>
        <w:t>万元</w:t>
      </w:r>
      <w:r>
        <w:rPr>
          <w:rFonts w:ascii="仿宋" w:eastAsia="仿宋" w:hAnsi="仿宋" w:cs="仿宋_GB2312" w:hint="eastAsia"/>
          <w:sz w:val="32"/>
          <w:szCs w:val="32"/>
        </w:rPr>
        <w:t>，没有出现民转刑命案和极端事件。</w:t>
      </w:r>
    </w:p>
    <w:p w:rsidR="00794600" w:rsidRDefault="00DC641E" w:rsidP="00DC641E">
      <w:pPr>
        <w:pStyle w:val="a4"/>
        <w:widowControl/>
        <w:numPr>
          <w:ilvl w:val="0"/>
          <w:numId w:val="4"/>
        </w:numPr>
        <w:shd w:val="clear" w:color="auto" w:fill="FFFFFF"/>
        <w:snapToGrid w:val="0"/>
        <w:spacing w:beforeAutospacing="0" w:afterAutospacing="0" w:line="4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社会效益</w:t>
      </w:r>
    </w:p>
    <w:p w:rsidR="00794600" w:rsidRDefault="00DC641E" w:rsidP="00DC641E">
      <w:pPr>
        <w:spacing w:line="46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我</w:t>
      </w:r>
      <w:r>
        <w:rPr>
          <w:rFonts w:hint="eastAsia"/>
          <w:sz w:val="32"/>
          <w:szCs w:val="32"/>
        </w:rPr>
        <w:t>县</w:t>
      </w:r>
      <w:r>
        <w:rPr>
          <w:sz w:val="32"/>
          <w:szCs w:val="32"/>
        </w:rPr>
        <w:t>全力推进依法治县工作，强化法治宣传、法治创建和基层法治德治相融互进，深入推进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法律七进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；依托市、县媒体中心整合传统媒体、新媒体、</w:t>
      </w:r>
      <w:r>
        <w:rPr>
          <w:sz w:val="32"/>
          <w:szCs w:val="32"/>
        </w:rPr>
        <w:t>农村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村村响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优势打造全方位法治宣传格局；有效提升群众法律素养，让法治理念深入人心，提高了人民群众的法治意识，促进全面推进依法行政、法治政府建设。</w:t>
      </w:r>
    </w:p>
    <w:p w:rsidR="00794600" w:rsidRDefault="00DC641E" w:rsidP="00DC641E">
      <w:pPr>
        <w:adjustRightInd w:val="0"/>
        <w:snapToGrid w:val="0"/>
        <w:spacing w:line="46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>切实维护以农民工、妇女、儿童等弱势群体为主的特殊群体合法权益，化解社会矛盾纠纷，实现了社会公平正义，维护了社会和谐稳定。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七、存在的问题及原因分析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202</w:t>
      </w:r>
      <w:r w:rsidR="00B347FB"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年城步县司法局整体支出严格按照绩效目标要求，没有偏离绩效目标。</w:t>
      </w:r>
    </w:p>
    <w:p w:rsidR="00794600" w:rsidRDefault="00DC641E" w:rsidP="00DC641E">
      <w:pPr>
        <w:pStyle w:val="a4"/>
        <w:widowControl/>
        <w:numPr>
          <w:ilvl w:val="0"/>
          <w:numId w:val="5"/>
        </w:numPr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下一步改进措施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lastRenderedPageBreak/>
        <w:t>按照厉行节约原则，下一步将继续实行财务制度精细化管理，确保各项支出有据可循，杜绝超标准支出；积极做好“三公”经费预决算公开工作，提高“三公”经费透明度，主动接受广大群众监督。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九、其他需要说明的情况</w:t>
      </w:r>
    </w:p>
    <w:p w:rsidR="00794600" w:rsidRDefault="00DC641E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:rsidR="00794600" w:rsidRDefault="00794600" w:rsidP="00DC641E">
      <w:pPr>
        <w:pStyle w:val="a4"/>
        <w:widowControl/>
        <w:shd w:val="clear" w:color="auto" w:fill="FFFFFF"/>
        <w:snapToGrid w:val="0"/>
        <w:spacing w:beforeAutospacing="0" w:afterAutospacing="0" w:line="460" w:lineRule="exact"/>
        <w:ind w:firstLineChars="200" w:firstLine="640"/>
        <w:rPr>
          <w:sz w:val="32"/>
          <w:szCs w:val="32"/>
        </w:rPr>
      </w:pPr>
    </w:p>
    <w:p w:rsidR="00794600" w:rsidRDefault="00794600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  <w:bookmarkStart w:id="1" w:name="_GoBack"/>
      <w:bookmarkEnd w:id="1"/>
    </w:p>
    <w:sectPr w:rsidR="00794600" w:rsidSect="00794600">
      <w:pgSz w:w="11906" w:h="16838"/>
      <w:pgMar w:top="1440" w:right="1134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E2950"/>
    <w:multiLevelType w:val="singleLevel"/>
    <w:tmpl w:val="84FE295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FE7C5E1"/>
    <w:multiLevelType w:val="singleLevel"/>
    <w:tmpl w:val="9FE7C5E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A4070CA"/>
    <w:multiLevelType w:val="singleLevel"/>
    <w:tmpl w:val="DA4070CA"/>
    <w:lvl w:ilvl="0">
      <w:start w:val="1"/>
      <w:numFmt w:val="decimal"/>
      <w:suff w:val="nothing"/>
      <w:lvlText w:val="%1、"/>
      <w:lvlJc w:val="left"/>
    </w:lvl>
  </w:abstractNum>
  <w:abstractNum w:abstractNumId="3">
    <w:nsid w:val="199C027F"/>
    <w:multiLevelType w:val="singleLevel"/>
    <w:tmpl w:val="199C027F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12060B7"/>
    <w:multiLevelType w:val="singleLevel"/>
    <w:tmpl w:val="312060B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ᤔȲ卆䵇莀ู㓍%鹦4働耀壍鹦+働耀壍鹦+ᦤȲ卆䵇씜౺㓍%鹦4働耀壍鹦+働耀壍鹦+ᨴȲ卆䵇퐀஑㓍%鹦4働耀壍鹦+᫄Ȳ卆䵇䦸଱㓍%鹦4働耀壍鹦+᭔Ȳ卆䵇횀࿛㓍%鹦4働耀壍鹦+卆䵇莜ู㓍%鹦4働耀壍鹦+"/>
    <w:docVar w:name="KSO_WPS_MARK_KEY" w:val="总ǣ总ǣ总ǣ总ǣ总ǣ总ǣ总ǣ总ǣ总ǣ总ǣ总ǣ总ǣ总ǣ总ǣ总ǣ总ǣ总ǣ总ǣ总ǣ总ǣ总ǣ总ǣ总ǣ总ǣ总ǣ总ǣ总ǣ总ǣ总ǣ总ǣ总ǣ总ǣ总ǣ总ǣ总ǣ总ǣ总ǣ总ǣ总ǣ总ǣ总ǣ总ǣ总ǣ总ǣ总ǣ总ǣ总ǣ总ǣ总ǣ总ǣ总ǣ总ǣ总ǣ总ǣ总ǣ总ǣ"/>
  </w:docVars>
  <w:rsids>
    <w:rsidRoot w:val="00794600"/>
    <w:rsid w:val="00671D43"/>
    <w:rsid w:val="00794600"/>
    <w:rsid w:val="00B30332"/>
    <w:rsid w:val="00B347FB"/>
    <w:rsid w:val="00D77B32"/>
    <w:rsid w:val="00DC641E"/>
    <w:rsid w:val="00E25E79"/>
    <w:rsid w:val="00E7273E"/>
    <w:rsid w:val="0514426B"/>
    <w:rsid w:val="0F7A2ADB"/>
    <w:rsid w:val="174E29A3"/>
    <w:rsid w:val="1EA33F65"/>
    <w:rsid w:val="20234AC9"/>
    <w:rsid w:val="269E5DD8"/>
    <w:rsid w:val="35555D8F"/>
    <w:rsid w:val="46132D66"/>
    <w:rsid w:val="4B72396B"/>
    <w:rsid w:val="551A7436"/>
    <w:rsid w:val="5E0A45F7"/>
    <w:rsid w:val="611C693E"/>
    <w:rsid w:val="6AB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600"/>
    <w:pPr>
      <w:widowControl w:val="0"/>
      <w:jc w:val="both"/>
    </w:pPr>
    <w:rPr>
      <w:rFonts w:ascii="Times New Roman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94600"/>
    <w:pPr>
      <w:ind w:firstLine="420"/>
    </w:pPr>
    <w:rPr>
      <w:szCs w:val="20"/>
    </w:rPr>
  </w:style>
  <w:style w:type="paragraph" w:styleId="a4">
    <w:name w:val="Normal (Web)"/>
    <w:basedOn w:val="a"/>
    <w:qFormat/>
    <w:rsid w:val="00794600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99"/>
    <w:qFormat/>
    <w:rsid w:val="00794600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2025-04-16T06:16:00Z</dcterms:created>
  <dcterms:modified xsi:type="dcterms:W3CDTF">2025-04-16T06:41:00Z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D1BA0F076F3F45F5A4EC113A94463AE6_12</vt:lpwstr>
  </property>
</Properties>
</file>