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7DB5">
      <w:pPr>
        <w:rPr>
          <w:rFonts w:hint="eastAsia" w:eastAsia="仿宋_GB2312"/>
          <w:lang w:eastAsia="zh-CN"/>
        </w:rPr>
        <w:sectPr>
          <w:pgSz w:w="11906" w:h="16838"/>
          <w:pgMar w:top="1440" w:right="1134" w:bottom="1440" w:left="1701" w:header="851" w:footer="992" w:gutter="0"/>
          <w:cols w:space="0" w:num="1"/>
          <w:rtlGutter w:val="0"/>
          <w:docGrid w:type="lines" w:linePitch="312" w:charSpace="0"/>
        </w:sectPr>
      </w:pPr>
      <w:bookmarkStart w:id="0" w:name="_GoBack"/>
      <w:r>
        <w:rPr>
          <w:rFonts w:hint="eastAsia" w:eastAsia="仿宋_GB2312"/>
          <w:lang w:eastAsia="zh-CN"/>
        </w:rPr>
        <w:drawing>
          <wp:inline distT="0" distB="0" distL="114300" distR="114300">
            <wp:extent cx="6210935" cy="8787130"/>
            <wp:effectExtent l="0" t="0" r="18415" b="13970"/>
            <wp:docPr id="1" name="图片 1" descr="133893294306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389329430634459"/>
                    <pic:cNvPicPr>
                      <a:picLocks noChangeAspect="1"/>
                    </pic:cNvPicPr>
                  </pic:nvPicPr>
                  <pic:blipFill>
                    <a:blip r:embed="rId4"/>
                    <a:stretch>
                      <a:fillRect/>
                    </a:stretch>
                  </pic:blipFill>
                  <pic:spPr>
                    <a:xfrm>
                      <a:off x="0" y="0"/>
                      <a:ext cx="6210935" cy="8787130"/>
                    </a:xfrm>
                    <a:prstGeom prst="rect">
                      <a:avLst/>
                    </a:prstGeom>
                  </pic:spPr>
                </pic:pic>
              </a:graphicData>
            </a:graphic>
          </wp:inline>
        </w:drawing>
      </w:r>
    </w:p>
    <w:bookmarkEnd w:id="0"/>
    <w:p w14:paraId="730E7F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3912A2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长安营镇人民政府</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3F8726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5E76BA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0CD24D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577282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华文仿宋" w:hAnsi="华文仿宋" w:eastAsia="仿宋" w:cs="华文仿宋"/>
          <w:i w:val="0"/>
          <w:iCs w:val="0"/>
          <w:caps w:val="0"/>
          <w:color w:val="000000"/>
          <w:spacing w:val="0"/>
          <w:sz w:val="32"/>
          <w:szCs w:val="32"/>
          <w:shd w:val="clear" w:fill="FFFFFF"/>
          <w:lang w:val="en-US" w:eastAsia="zh-CN"/>
        </w:rPr>
      </w:pPr>
      <w:r>
        <w:rPr>
          <w:rFonts w:hint="eastAsia" w:ascii="仿宋" w:hAnsi="仿宋" w:eastAsia="仿宋" w:cs="仿宋"/>
          <w:b w:val="0"/>
          <w:bCs/>
          <w:sz w:val="32"/>
          <w:szCs w:val="32"/>
        </w:rPr>
        <w:t>长安营镇机关设置以下内设机构：</w:t>
      </w:r>
      <w:r>
        <w:rPr>
          <w:rFonts w:hint="eastAsia" w:ascii="仿宋" w:hAnsi="仿宋" w:eastAsia="仿宋" w:cs="仿宋"/>
          <w:b w:val="0"/>
          <w:bCs/>
          <w:sz w:val="32"/>
          <w:szCs w:val="32"/>
          <w:lang w:val="en-US" w:eastAsia="zh-CN"/>
        </w:rPr>
        <w:t>党政办公室、党建办公室、经济发展办公室、平安法治和应急管理办公室、综合行政执法大队、农业综合服务中心、生态事务中心、退役军人服务站。</w:t>
      </w:r>
    </w:p>
    <w:p w14:paraId="4BC6BEB1">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2AC3B44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仿宋" w:cs="楷体_GB2312"/>
          <w:i w:val="0"/>
          <w:iCs w:val="0"/>
          <w:caps w:val="0"/>
          <w:color w:val="000000"/>
          <w:spacing w:val="0"/>
          <w:sz w:val="32"/>
          <w:szCs w:val="32"/>
          <w:shd w:val="clear" w:fill="FFFFFF"/>
          <w:lang w:val="en-US" w:eastAsia="zh-CN"/>
        </w:rPr>
      </w:pPr>
      <w:r>
        <w:rPr>
          <w:rFonts w:hint="eastAsia" w:ascii="仿宋" w:hAnsi="仿宋" w:eastAsia="仿宋" w:cs="仿宋"/>
          <w:b w:val="0"/>
          <w:bCs/>
          <w:sz w:val="32"/>
          <w:szCs w:val="32"/>
        </w:rPr>
        <w:t>长安营镇机关编制人数40人，实有人数38人</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机关后勤服务全额拨款事业编制2名，人员只出不进，编制出一减一，实有人数1人。</w:t>
      </w:r>
    </w:p>
    <w:p w14:paraId="635EB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（三）主要职能职责</w:t>
      </w:r>
    </w:p>
    <w:p w14:paraId="01B2C1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1.</w:t>
      </w:r>
      <w:r>
        <w:rPr>
          <w:rFonts w:hint="eastAsia" w:ascii="华文仿宋" w:hAnsi="华文仿宋" w:eastAsia="华文仿宋" w:cs="华文仿宋"/>
          <w:i w:val="0"/>
          <w:iCs w:val="0"/>
          <w:caps w:val="0"/>
          <w:color w:val="000000"/>
          <w:spacing w:val="0"/>
          <w:sz w:val="32"/>
          <w:szCs w:val="32"/>
          <w:shd w:val="clear" w:fill="FFFFFF"/>
        </w:rPr>
        <w:t>宣传和贯彻执行党的路线方针政策和法律法规;制定地方经济社会发展规划和年度计划并组织实施;坚持依法行政,推进民主政治,加强基层政权建设;做好农业、农村、农民和社区工作。</w:t>
      </w:r>
    </w:p>
    <w:p w14:paraId="5209E2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2.</w:t>
      </w:r>
      <w:r>
        <w:rPr>
          <w:rFonts w:hint="eastAsia" w:ascii="华文仿宋" w:hAnsi="华文仿宋" w:eastAsia="华文仿宋" w:cs="华文仿宋"/>
          <w:i w:val="0"/>
          <w:iCs w:val="0"/>
          <w:caps w:val="0"/>
          <w:color w:val="000000"/>
          <w:spacing w:val="0"/>
          <w:sz w:val="32"/>
          <w:szCs w:val="32"/>
          <w:shd w:val="clear" w:fill="FFFFFF"/>
        </w:rPr>
        <w:t>落实基层管党治党工作责任制,加强党员队伍的思想建设、组织建设、作风建设、制度建设和党风廉政建设;做好党员管理、发展工作,改善党员队伍结构,提高党员素</w:t>
      </w:r>
      <w:r>
        <w:rPr>
          <w:rFonts w:hint="eastAsia" w:ascii="华文仿宋" w:hAnsi="华文仿宋" w:eastAsia="华文仿宋" w:cs="华文仿宋"/>
          <w:i w:val="0"/>
          <w:iCs w:val="0"/>
          <w:caps w:val="0"/>
          <w:color w:val="000000"/>
          <w:spacing w:val="0"/>
          <w:sz w:val="32"/>
          <w:szCs w:val="32"/>
          <w:shd w:val="clear" w:fill="FFFFFF"/>
          <w:lang w:eastAsia="zh-CN"/>
        </w:rPr>
        <w:t>；</w:t>
      </w:r>
      <w:r>
        <w:rPr>
          <w:rFonts w:hint="eastAsia" w:ascii="华文仿宋" w:hAnsi="华文仿宋" w:eastAsia="华文仿宋" w:cs="华文仿宋"/>
          <w:i w:val="0"/>
          <w:iCs w:val="0"/>
          <w:caps w:val="0"/>
          <w:color w:val="000000"/>
          <w:spacing w:val="0"/>
          <w:sz w:val="32"/>
          <w:szCs w:val="32"/>
          <w:shd w:val="clear" w:fill="FFFFFF"/>
        </w:rPr>
        <w:t>加强党对意识形态和统一战线工作的领导;宣传普及社会主义核心价值观,组织开展文明实践活动;指导工会、共青团、妇联等群团工作。</w:t>
      </w:r>
    </w:p>
    <w:p w14:paraId="2EE119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3.</w:t>
      </w:r>
      <w:r>
        <w:rPr>
          <w:rFonts w:hint="eastAsia" w:ascii="华文仿宋" w:hAnsi="华文仿宋" w:eastAsia="华文仿宋" w:cs="华文仿宋"/>
          <w:i w:val="0"/>
          <w:iCs w:val="0"/>
          <w:caps w:val="0"/>
          <w:color w:val="000000"/>
          <w:spacing w:val="0"/>
          <w:sz w:val="32"/>
          <w:szCs w:val="32"/>
          <w:shd w:val="clear" w:fill="FFFFFF"/>
        </w:rPr>
        <w:t>规范经济管理,组织指导经济发展和经济结构调整;加强综合生产能力建设;健全社会化服务体系,完善产业支持保护体系,推进产业现代化;着力提升经济发展的质量和水平,发展壮大村级集体经济,增加村(社区)民收入,不断提高人民生活水平。</w:t>
      </w:r>
    </w:p>
    <w:p w14:paraId="2A38B3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4.</w:t>
      </w:r>
      <w:r>
        <w:rPr>
          <w:rFonts w:hint="eastAsia" w:ascii="华文仿宋" w:hAnsi="华文仿宋" w:eastAsia="华文仿宋" w:cs="华文仿宋"/>
          <w:i w:val="0"/>
          <w:iCs w:val="0"/>
          <w:caps w:val="0"/>
          <w:color w:val="000000"/>
          <w:spacing w:val="0"/>
          <w:sz w:val="32"/>
          <w:szCs w:val="32"/>
          <w:shd w:val="clear" w:fill="FFFFFF"/>
        </w:rPr>
        <w:t>加强社会管理和基础设施建设,创造良好环境。推进政务、村(社区)务公开;抓好卫生健康工作,保障妇女儿童合法权益;加强自然资源管理、村镇建设、生态环境保护和修复等工作;加强人民武装、民族宗教等工作;强化安全生产和公共安全,组织抢险救灾、优抚救助,及时上报和处置重大社情、疫情、险情等,保护人民群众的生命财产安全。</w:t>
      </w:r>
    </w:p>
    <w:p w14:paraId="0A0223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5.</w:t>
      </w:r>
      <w:r>
        <w:rPr>
          <w:rFonts w:hint="eastAsia" w:ascii="华文仿宋" w:hAnsi="华文仿宋" w:eastAsia="华文仿宋" w:cs="华文仿宋"/>
          <w:i w:val="0"/>
          <w:iCs w:val="0"/>
          <w:caps w:val="0"/>
          <w:color w:val="000000"/>
          <w:spacing w:val="0"/>
          <w:sz w:val="32"/>
          <w:szCs w:val="32"/>
          <w:shd w:val="clear" w:fill="FFFFFF"/>
        </w:rPr>
        <w:t>发展民生事业,强化公共服务。搞好公共设施建设,开展社会保障服务,着力解决群众生产生活中的问题;发展科教文卫事业,促进精神文明建设;制订公共服务事项目录清单,加强公共服务体系建设。</w:t>
      </w:r>
      <w:r>
        <w:rPr>
          <w:rFonts w:hint="eastAsia" w:ascii="华文仿宋" w:hAnsi="华文仿宋" w:eastAsia="华文仿宋" w:cs="华文仿宋"/>
          <w:i w:val="0"/>
          <w:iCs w:val="0"/>
          <w:caps w:val="0"/>
          <w:color w:val="000000"/>
          <w:spacing w:val="0"/>
          <w:sz w:val="32"/>
          <w:szCs w:val="32"/>
          <w:shd w:val="clear" w:fill="FFFFFF"/>
          <w:lang w:val="en-US" w:eastAsia="zh-CN"/>
        </w:rPr>
        <w:t>6.</w:t>
      </w:r>
      <w:r>
        <w:rPr>
          <w:rFonts w:hint="eastAsia" w:ascii="华文仿宋" w:hAnsi="华文仿宋" w:eastAsia="华文仿宋" w:cs="华文仿宋"/>
          <w:i w:val="0"/>
          <w:iCs w:val="0"/>
          <w:caps w:val="0"/>
          <w:color w:val="000000"/>
          <w:spacing w:val="0"/>
          <w:sz w:val="32"/>
          <w:szCs w:val="32"/>
          <w:shd w:val="clear" w:fill="FFFFFF"/>
        </w:rPr>
        <w:t>加强平安建设,维护社会稳定。调解民事纠纷、化解社会矛盾,接待上访群众,处理群体性突发事件,保证社会公正,维护社会秩序和社会稳定。指导村(社区)民自治,推动基层社会建设,促进社会组织健康发展,增强社会自治功能。</w:t>
      </w:r>
    </w:p>
    <w:p w14:paraId="436333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7.</w:t>
      </w:r>
      <w:r>
        <w:rPr>
          <w:rFonts w:hint="eastAsia" w:ascii="华文仿宋" w:hAnsi="华文仿宋" w:eastAsia="华文仿宋" w:cs="华文仿宋"/>
          <w:i w:val="0"/>
          <w:iCs w:val="0"/>
          <w:caps w:val="0"/>
          <w:color w:val="000000"/>
          <w:spacing w:val="0"/>
          <w:sz w:val="32"/>
          <w:szCs w:val="32"/>
          <w:shd w:val="clear" w:fill="FFFFFF"/>
        </w:rPr>
        <w:t>按照管理权限,负责机关和事业单位工作人员的教育、培养、选拔和监督工作。协助管理好派驻单位人员。</w:t>
      </w:r>
    </w:p>
    <w:p w14:paraId="3EE4F1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8.</w:t>
      </w:r>
      <w:r>
        <w:rPr>
          <w:rFonts w:hint="eastAsia" w:ascii="华文仿宋" w:hAnsi="华文仿宋" w:eastAsia="华文仿宋" w:cs="华文仿宋"/>
          <w:i w:val="0"/>
          <w:iCs w:val="0"/>
          <w:caps w:val="0"/>
          <w:color w:val="000000"/>
          <w:spacing w:val="0"/>
          <w:sz w:val="32"/>
          <w:szCs w:val="32"/>
          <w:shd w:val="clear" w:fill="FFFFFF"/>
        </w:rPr>
        <w:t>依法依规承担下放的经济社会管理权限和行政执法事项。</w:t>
      </w:r>
    </w:p>
    <w:p w14:paraId="75D425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9.</w:t>
      </w:r>
      <w:r>
        <w:rPr>
          <w:rFonts w:hint="eastAsia" w:ascii="华文仿宋" w:hAnsi="华文仿宋" w:eastAsia="华文仿宋" w:cs="华文仿宋"/>
          <w:i w:val="0"/>
          <w:iCs w:val="0"/>
          <w:caps w:val="0"/>
          <w:color w:val="000000"/>
          <w:spacing w:val="0"/>
          <w:sz w:val="32"/>
          <w:szCs w:val="32"/>
          <w:shd w:val="clear" w:fill="FFFFFF"/>
        </w:rPr>
        <w:t>行使《中华人民共和国地方各级人民代表大会和地方各级人民政府组织法》等法律法规赋予的职权。</w:t>
      </w:r>
    </w:p>
    <w:p w14:paraId="3F19BC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10.</w:t>
      </w:r>
      <w:r>
        <w:rPr>
          <w:rFonts w:hint="eastAsia" w:ascii="华文仿宋" w:hAnsi="华文仿宋" w:eastAsia="华文仿宋" w:cs="华文仿宋"/>
          <w:i w:val="0"/>
          <w:iCs w:val="0"/>
          <w:caps w:val="0"/>
          <w:color w:val="000000"/>
          <w:spacing w:val="0"/>
          <w:sz w:val="32"/>
          <w:szCs w:val="32"/>
          <w:shd w:val="clear" w:fill="FFFFFF"/>
        </w:rPr>
        <w:t>完成县委、县政府交办的其他任务。</w:t>
      </w:r>
    </w:p>
    <w:p w14:paraId="0A623E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（四）绩效目标设定情况</w:t>
      </w:r>
    </w:p>
    <w:p w14:paraId="4B17D4A9">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243D852D">
      <w:pPr>
        <w:pStyle w:val="8"/>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4D42574C">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43B6D7F6">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923.34</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923.34</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923.34</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923.34</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229DFFDB">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66CB7937">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2121.68</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1198.34</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2121.68</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2121.68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100</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val="en-US" w:eastAsia="zh-CN"/>
        </w:rPr>
        <w:t>无项目支出</w:t>
      </w:r>
      <w:r>
        <w:rPr>
          <w:rFonts w:hint="default" w:ascii="Times New Roman" w:hAnsi="Times New Roman" w:eastAsia="仿宋_GB2312" w:cs="Times New Roman"/>
          <w:sz w:val="32"/>
          <w:szCs w:val="32"/>
          <w:lang w:eastAsia="zh-CN"/>
        </w:rPr>
        <w:t>。</w:t>
      </w:r>
    </w:p>
    <w:p w14:paraId="1A2B9A62">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2DB43893">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30535400">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2</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2</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2万</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2</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0EB300D8">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3B458FB5">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6B176773">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4C8CD32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长安营镇人民政府 2024</w:t>
      </w:r>
      <w:r>
        <w:rPr>
          <w:rFonts w:hint="eastAsia" w:ascii="Times New Roman" w:hAnsi="Times New Roman" w:eastAsia="仿宋_GB2312" w:cs="Times New Roman"/>
          <w:color w:val="auto"/>
          <w:kern w:val="0"/>
          <w:sz w:val="32"/>
          <w:szCs w:val="32"/>
          <w:lang w:val="en-US" w:eastAsia="zh-CN"/>
        </w:rPr>
        <w:t>年度</w:t>
      </w:r>
      <w:r>
        <w:rPr>
          <w:rFonts w:hint="eastAsia" w:ascii="Times New Roman" w:hAnsi="Times New Roman" w:cs="Times New Roman"/>
          <w:color w:val="auto"/>
          <w:kern w:val="0"/>
          <w:sz w:val="32"/>
          <w:szCs w:val="32"/>
          <w:lang w:val="en-US" w:eastAsia="zh-CN"/>
        </w:rPr>
        <w:t>政府性基金预算支出</w:t>
      </w:r>
      <w:r>
        <w:rPr>
          <w:rFonts w:hint="eastAsia" w:ascii="Times New Roman" w:hAnsi="Times New Roman" w:eastAsia="仿宋_GB2312" w:cs="Times New Roman"/>
          <w:color w:val="auto"/>
          <w:kern w:val="0"/>
          <w:sz w:val="32"/>
          <w:szCs w:val="32"/>
          <w:lang w:val="en-US" w:eastAsia="zh-CN"/>
        </w:rPr>
        <w:t>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5.68</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5.68</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7FDBCD18">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415164B6">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344BAD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55386A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514B7CA6">
      <w:pPr>
        <w:widowControl/>
        <w:shd w:val="clear" w:color="auto" w:fill="FFFFFF"/>
        <w:wordWrap w:val="0"/>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shd w:val="clear" w:color="auto" w:fill="FFFFFF"/>
        </w:rPr>
        <w:t>我镇认真贯彻落实县委县政府决策部署，迎难而上、主动作为，扎实推进各项工作，全镇经济工作实现稳中向好。根据《部门整体支出绩效评价指标》评分，得分9</w:t>
      </w:r>
      <w:r>
        <w:rPr>
          <w:rFonts w:hint="eastAsia" w:ascii="仿宋_GB2312" w:hAnsi="仿宋" w:cs="仿宋"/>
          <w:sz w:val="32"/>
          <w:szCs w:val="32"/>
          <w:shd w:val="clear" w:color="auto" w:fill="FFFFFF"/>
          <w:lang w:val="en-US" w:eastAsia="zh-CN"/>
        </w:rPr>
        <w:t>3</w:t>
      </w:r>
      <w:r>
        <w:rPr>
          <w:rFonts w:hint="eastAsia" w:ascii="仿宋_GB2312" w:hAnsi="仿宋" w:eastAsia="仿宋_GB2312" w:cs="仿宋"/>
          <w:sz w:val="32"/>
          <w:szCs w:val="32"/>
          <w:shd w:val="clear" w:color="auto" w:fill="FFFFFF"/>
        </w:rPr>
        <w:t>分</w:t>
      </w:r>
      <w:r>
        <w:rPr>
          <w:rFonts w:hint="eastAsia" w:ascii="仿宋_GB2312" w:hAnsi="仿宋" w:eastAsia="仿宋_GB2312" w:cs="仿宋"/>
          <w:sz w:val="32"/>
          <w:szCs w:val="32"/>
        </w:rPr>
        <w:t>。</w:t>
      </w:r>
      <w:r>
        <w:rPr>
          <w:rFonts w:hint="eastAsia" w:ascii="仿宋_GB2312" w:hAnsi="仿宋" w:cs="仿宋"/>
          <w:sz w:val="32"/>
          <w:szCs w:val="32"/>
          <w:lang w:eastAsia="zh-CN"/>
        </w:rPr>
        <w:t>自评结果根据流程要求交由绩效法规股考核后对外公开。</w:t>
      </w:r>
    </w:p>
    <w:p w14:paraId="31FF7D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p>
    <w:p w14:paraId="5EEA8BB1">
      <w:pPr>
        <w:keepNext w:val="0"/>
        <w:keepLines w:val="0"/>
        <w:pageBreakBefore w:val="0"/>
        <w:widowControl w:val="0"/>
        <w:numPr>
          <w:ilvl w:val="0"/>
          <w:numId w:val="3"/>
        </w:numPr>
        <w:kinsoku/>
        <w:wordWrap/>
        <w:overflowPunct/>
        <w:topLinePunct w:val="0"/>
        <w:autoSpaceDE/>
        <w:autoSpaceDN/>
        <w:bidi w:val="0"/>
        <w:snapToGrid/>
        <w:spacing w:line="580" w:lineRule="exact"/>
        <w:ind w:firstLine="640" w:firstLineChars="200"/>
        <w:jc w:val="both"/>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14:paraId="4927983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ascii="仿宋" w:hAnsi="仿宋" w:eastAsia="仿宋"/>
          <w:bCs/>
          <w:sz w:val="32"/>
          <w:szCs w:val="32"/>
        </w:rPr>
      </w:pPr>
      <w:r>
        <w:rPr>
          <w:rFonts w:hint="eastAsia" w:ascii="Times New Roman" w:hAnsi="Times New Roman" w:eastAsia="仿宋_GB2312" w:cs="Times New Roman"/>
          <w:sz w:val="32"/>
          <w:szCs w:val="32"/>
        </w:rPr>
        <w:t>年初制订的绩效工作目标到年底实际已全部完成，且按时按质完成。制定工作目标时要按照切实可行的原则，要细化分解工作任务，与工作计划与资金相匹配；推进绩效工资过程中要遵守规定，有效使用资金，按时按序进行</w:t>
      </w:r>
      <w:r>
        <w:rPr>
          <w:rFonts w:hint="eastAsia" w:ascii="Times New Roman" w:hAnsi="Times New Roman" w:eastAsia="仿宋_GB2312" w:cs="Times New Roman"/>
          <w:sz w:val="32"/>
          <w:szCs w:val="32"/>
          <w:lang w:eastAsia="zh-CN"/>
        </w:rPr>
        <w:t>。</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年单位在经费使用过程中加强管理，合理安排各项开支，精打细算，确保单位的正常运转，实现了收支平衡，年初设置目标绩效目标值100%完成</w:t>
      </w:r>
      <w:r>
        <w:rPr>
          <w:rFonts w:hint="eastAsia" w:ascii="仿宋" w:hAnsi="仿宋" w:eastAsia="仿宋"/>
          <w:sz w:val="32"/>
          <w:szCs w:val="32"/>
          <w:lang w:eastAsia="zh-CN"/>
        </w:rPr>
        <w:t>。</w:t>
      </w:r>
      <w:r>
        <w:rPr>
          <w:rFonts w:hint="eastAsia" w:ascii="仿宋" w:hAnsi="仿宋" w:eastAsia="仿宋"/>
          <w:bCs/>
          <w:sz w:val="32"/>
          <w:szCs w:val="32"/>
        </w:rPr>
        <w:t>1、人员经费保证了工作人员安心工作，全心全意服务社会、服务群众；2、办公设备的</w:t>
      </w:r>
      <w:r>
        <w:rPr>
          <w:rFonts w:hint="eastAsia" w:ascii="仿宋" w:hAnsi="仿宋" w:eastAsia="仿宋"/>
          <w:bCs/>
          <w:sz w:val="32"/>
          <w:szCs w:val="32"/>
          <w:lang w:val="en-US" w:eastAsia="zh-CN"/>
        </w:rPr>
        <w:t>不断</w:t>
      </w:r>
      <w:r>
        <w:rPr>
          <w:rFonts w:hint="eastAsia" w:ascii="仿宋" w:hAnsi="仿宋" w:eastAsia="仿宋"/>
          <w:bCs/>
          <w:sz w:val="32"/>
          <w:szCs w:val="32"/>
        </w:rPr>
        <w:t>完善大大提高了工作效率、也为工作人员提供了一个</w:t>
      </w:r>
      <w:r>
        <w:rPr>
          <w:rFonts w:hint="eastAsia" w:ascii="仿宋" w:hAnsi="仿宋" w:eastAsia="仿宋"/>
          <w:bCs/>
          <w:sz w:val="32"/>
          <w:szCs w:val="32"/>
          <w:lang w:val="en-US" w:eastAsia="zh-CN"/>
        </w:rPr>
        <w:t>舒适</w:t>
      </w:r>
      <w:r>
        <w:rPr>
          <w:rFonts w:hint="eastAsia" w:ascii="仿宋" w:hAnsi="仿宋" w:eastAsia="仿宋"/>
          <w:bCs/>
          <w:sz w:val="32"/>
          <w:szCs w:val="32"/>
        </w:rPr>
        <w:t>的</w:t>
      </w:r>
      <w:r>
        <w:rPr>
          <w:rFonts w:hint="eastAsia" w:ascii="仿宋" w:hAnsi="仿宋" w:eastAsia="仿宋"/>
          <w:bCs/>
          <w:sz w:val="32"/>
          <w:szCs w:val="32"/>
          <w:lang w:val="en-US" w:eastAsia="zh-CN"/>
        </w:rPr>
        <w:t>办公</w:t>
      </w:r>
      <w:r>
        <w:rPr>
          <w:rFonts w:hint="eastAsia" w:ascii="仿宋" w:hAnsi="仿宋" w:eastAsia="仿宋"/>
          <w:bCs/>
          <w:sz w:val="32"/>
          <w:szCs w:val="32"/>
        </w:rPr>
        <w:t>环境。3、办公费用保证了单位的正常运转。4、“三公”经费</w:t>
      </w:r>
      <w:r>
        <w:rPr>
          <w:rFonts w:hint="eastAsia" w:ascii="仿宋" w:hAnsi="仿宋" w:eastAsia="仿宋"/>
          <w:bCs/>
          <w:sz w:val="32"/>
          <w:szCs w:val="32"/>
          <w:lang w:val="en-US" w:eastAsia="zh-CN"/>
        </w:rPr>
        <w:t>严格按照中央和省政府关于党政机关厉行节约反对浪费的规定执行</w:t>
      </w:r>
      <w:r>
        <w:rPr>
          <w:rFonts w:hint="eastAsia" w:ascii="仿宋" w:hAnsi="仿宋" w:eastAsia="仿宋"/>
          <w:bCs/>
          <w:sz w:val="32"/>
          <w:szCs w:val="32"/>
        </w:rPr>
        <w:t>。</w:t>
      </w:r>
    </w:p>
    <w:p w14:paraId="220A26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19BE0B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（一）预算编制中存在的问题</w:t>
      </w:r>
      <w:r>
        <w:rPr>
          <w:rFonts w:hint="eastAsia"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编制年度预算部门时，</w:t>
      </w:r>
      <w:r>
        <w:rPr>
          <w:rFonts w:hint="eastAsia" w:ascii="Times New Roman" w:hAnsi="Times New Roman" w:cs="Times New Roman"/>
          <w:color w:val="auto"/>
          <w:kern w:val="0"/>
          <w:sz w:val="32"/>
          <w:szCs w:val="32"/>
          <w:lang w:val="en-US" w:eastAsia="zh-CN"/>
        </w:rPr>
        <w:t>做</w:t>
      </w:r>
      <w:r>
        <w:rPr>
          <w:rFonts w:hint="eastAsia" w:ascii="Times New Roman" w:hAnsi="Times New Roman" w:eastAsia="仿宋_GB2312" w:cs="Times New Roman"/>
          <w:color w:val="auto"/>
          <w:kern w:val="0"/>
          <w:sz w:val="32"/>
          <w:szCs w:val="32"/>
          <w:lang w:val="en-US" w:eastAsia="zh-CN"/>
        </w:rPr>
        <w:t>“三公经费”</w:t>
      </w:r>
      <w:r>
        <w:rPr>
          <w:rFonts w:hint="eastAsia" w:ascii="Times New Roman" w:hAnsi="Times New Roman" w:cs="Times New Roman"/>
          <w:color w:val="auto"/>
          <w:kern w:val="0"/>
          <w:sz w:val="32"/>
          <w:szCs w:val="32"/>
          <w:lang w:val="en-US" w:eastAsia="zh-CN"/>
        </w:rPr>
        <w:t>预算</w:t>
      </w:r>
      <w:r>
        <w:rPr>
          <w:rFonts w:hint="eastAsia" w:ascii="Times New Roman" w:hAnsi="Times New Roman" w:eastAsia="仿宋_GB2312" w:cs="Times New Roman"/>
          <w:color w:val="auto"/>
          <w:kern w:val="0"/>
          <w:sz w:val="32"/>
          <w:szCs w:val="32"/>
          <w:lang w:val="en-US" w:eastAsia="zh-CN"/>
        </w:rPr>
        <w:t>时，存在</w:t>
      </w:r>
      <w:r>
        <w:rPr>
          <w:rFonts w:hint="eastAsia" w:ascii="Times New Roman" w:hAnsi="Times New Roman" w:cs="Times New Roman"/>
          <w:color w:val="auto"/>
          <w:kern w:val="0"/>
          <w:sz w:val="32"/>
          <w:szCs w:val="32"/>
          <w:lang w:val="en-US" w:eastAsia="zh-CN"/>
        </w:rPr>
        <w:t>不符合实际的情况</w:t>
      </w:r>
      <w:r>
        <w:rPr>
          <w:rFonts w:hint="eastAsia" w:ascii="Times New Roman" w:hAnsi="Times New Roman" w:eastAsia="仿宋_GB2312" w:cs="Times New Roman"/>
          <w:color w:val="auto"/>
          <w:kern w:val="0"/>
          <w:sz w:val="32"/>
          <w:szCs w:val="32"/>
          <w:lang w:val="en-US" w:eastAsia="zh-CN"/>
        </w:rPr>
        <w:t>。</w:t>
      </w:r>
    </w:p>
    <w:p w14:paraId="2B55EBF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仿宋_GB2312" w:cs="Times New Roman"/>
          <w:color w:val="auto"/>
          <w:kern w:val="0"/>
          <w:sz w:val="32"/>
          <w:szCs w:val="32"/>
          <w:lang w:val="en-US" w:eastAsia="zh-CN"/>
        </w:rPr>
        <w:t>（</w:t>
      </w:r>
      <w:r>
        <w:rPr>
          <w:rFonts w:hint="eastAsia" w:cs="Times New Roman"/>
          <w:color w:val="auto"/>
          <w:kern w:val="0"/>
          <w:sz w:val="32"/>
          <w:szCs w:val="32"/>
          <w:lang w:val="en-US" w:eastAsia="zh-CN"/>
        </w:rPr>
        <w:t>二</w:t>
      </w:r>
      <w:r>
        <w:rPr>
          <w:rFonts w:hint="eastAsia" w:ascii="Times New Roman" w:hAnsi="Times New Roman" w:eastAsia="仿宋_GB2312" w:cs="Times New Roman"/>
          <w:color w:val="auto"/>
          <w:kern w:val="0"/>
          <w:sz w:val="32"/>
          <w:szCs w:val="32"/>
          <w:lang w:val="en-US" w:eastAsia="zh-CN"/>
        </w:rPr>
        <w:t>）固定资产管理工作有待完善没有每年组织一次固定资产资产清查盘点工作，帐与实物没法核实。</w:t>
      </w:r>
    </w:p>
    <w:p w14:paraId="29159596">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35DB6F59">
      <w:pPr>
        <w:keepNext w:val="0"/>
        <w:keepLines w:val="0"/>
        <w:pageBreakBefore w:val="0"/>
        <w:numPr>
          <w:ilvl w:val="0"/>
          <w:numId w:val="0"/>
        </w:numPr>
        <w:pBdr>
          <w:bottom w:val="none" w:color="CCCCCC" w:sz="0" w:space="24"/>
        </w:pBdr>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（一）根据</w:t>
      </w:r>
      <w:r>
        <w:rPr>
          <w:rFonts w:hint="eastAsia" w:ascii="Times New Roman" w:hAnsi="Times New Roman" w:cs="Times New Roman"/>
          <w:color w:val="auto"/>
          <w:kern w:val="0"/>
          <w:sz w:val="32"/>
          <w:szCs w:val="32"/>
          <w:lang w:val="en-US" w:eastAsia="zh-CN"/>
        </w:rPr>
        <w:t>我镇路程遥远、交通不便的实际情况，</w:t>
      </w:r>
      <w:r>
        <w:rPr>
          <w:rFonts w:hint="eastAsia" w:ascii="Times New Roman" w:hAnsi="Times New Roman" w:eastAsia="仿宋_GB2312" w:cs="Times New Roman"/>
          <w:color w:val="auto"/>
          <w:kern w:val="0"/>
          <w:sz w:val="32"/>
          <w:szCs w:val="32"/>
          <w:lang w:val="en-US" w:eastAsia="zh-CN"/>
        </w:rPr>
        <w:t>按照控制“三公经费”，合理编制“三公经费”预算金额。</w:t>
      </w:r>
    </w:p>
    <w:p w14:paraId="5067D802">
      <w:pPr>
        <w:keepNext w:val="0"/>
        <w:keepLines w:val="0"/>
        <w:pageBreakBefore w:val="0"/>
        <w:numPr>
          <w:ilvl w:val="0"/>
          <w:numId w:val="0"/>
        </w:numPr>
        <w:pBdr>
          <w:bottom w:val="none" w:color="CCCCCC" w:sz="0" w:space="24"/>
        </w:pBdr>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cs="Times New Roman"/>
          <w:color w:val="auto"/>
          <w:kern w:val="0"/>
          <w:sz w:val="32"/>
          <w:szCs w:val="32"/>
          <w:lang w:val="en-US" w:eastAsia="zh-CN"/>
        </w:rPr>
        <w:t>二</w:t>
      </w:r>
      <w:r>
        <w:rPr>
          <w:rFonts w:hint="eastAsia" w:ascii="Times New Roman" w:hAnsi="Times New Roman" w:eastAsia="仿宋_GB2312" w:cs="Times New Roman"/>
          <w:color w:val="auto"/>
          <w:kern w:val="0"/>
          <w:sz w:val="32"/>
          <w:szCs w:val="32"/>
          <w:lang w:val="en-US" w:eastAsia="zh-CN"/>
        </w:rPr>
        <w:t>）固定资产管理工作落到实处，定期组织资产清查盘点工作，及时履行资产报损、转移手续，确保单位资产账实相符，防范资产损失。</w:t>
      </w:r>
    </w:p>
    <w:p w14:paraId="005BC7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02F459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Calibri" w:hAnsi="Calibri" w:eastAsia="仿宋_GB2312" w:cs="Calibri"/>
          <w:i w:val="0"/>
          <w:iCs w:val="0"/>
          <w:caps w:val="0"/>
          <w:color w:val="000000"/>
          <w:spacing w:val="0"/>
          <w:sz w:val="32"/>
          <w:szCs w:val="32"/>
          <w:lang w:val="en-US" w:eastAsia="zh-CN"/>
        </w:rPr>
      </w:pPr>
      <w:r>
        <w:rPr>
          <w:rFonts w:hint="eastAsia" w:ascii="Calibri" w:hAnsi="Calibri" w:cs="Calibri"/>
          <w:i w:val="0"/>
          <w:iCs w:val="0"/>
          <w:caps w:val="0"/>
          <w:color w:val="000000"/>
          <w:spacing w:val="0"/>
          <w:sz w:val="32"/>
          <w:szCs w:val="32"/>
          <w:lang w:val="en-US" w:eastAsia="zh-CN"/>
        </w:rPr>
        <w:t>无</w:t>
      </w:r>
    </w:p>
    <w:p w14:paraId="529FD5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E7C68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DA9D6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669E7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336B7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4C225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BF388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11148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5E55F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44581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1B9DC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54444B9F">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F03AA"/>
    <w:multiLevelType w:val="singleLevel"/>
    <w:tmpl w:val="A91F03AA"/>
    <w:lvl w:ilvl="0" w:tentative="0">
      <w:start w:val="2"/>
      <w:numFmt w:val="chineseCounting"/>
      <w:suff w:val="nothing"/>
      <w:lvlText w:val="（%1）"/>
      <w:lvlJc w:val="left"/>
      <w:rPr>
        <w:rFonts w:hint="eastAsia"/>
      </w:rPr>
    </w:lvl>
  </w:abstractNum>
  <w:abstractNum w:abstractNumId="1">
    <w:nsid w:val="0819FD1F"/>
    <w:multiLevelType w:val="singleLevel"/>
    <w:tmpl w:val="0819FD1F"/>
    <w:lvl w:ilvl="0" w:tentative="0">
      <w:start w:val="8"/>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abstractNum w:abstractNumId="3">
    <w:nsid w:val="443CFB5D"/>
    <w:multiLevelType w:val="singleLevel"/>
    <w:tmpl w:val="443CFB5D"/>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0B9F074F"/>
    <w:rsid w:val="10EE0F64"/>
    <w:rsid w:val="185C34E9"/>
    <w:rsid w:val="1E020962"/>
    <w:rsid w:val="1EA33F65"/>
    <w:rsid w:val="269E5DD8"/>
    <w:rsid w:val="32636C88"/>
    <w:rsid w:val="3B936338"/>
    <w:rsid w:val="40134227"/>
    <w:rsid w:val="4B72396B"/>
    <w:rsid w:val="4F8F4C9C"/>
    <w:rsid w:val="575F6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next w:val="1"/>
    <w:unhideWhenUsed/>
    <w:qFormat/>
    <w:uiPriority w:val="99"/>
    <w:pPr>
      <w:ind w:firstLine="420" w:firstLineChars="200"/>
    </w:pPr>
  </w:style>
  <w:style w:type="paragraph" w:customStyle="1" w:styleId="8">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2173</Words>
  <Characters>2278</Characters>
  <Lines>0</Lines>
  <Paragraphs>0</Paragraphs>
  <TotalTime>0</TotalTime>
  <ScaleCrop>false</ScaleCrop>
  <LinksUpToDate>false</LinksUpToDate>
  <CharactersWithSpaces>2285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cp:lastModifiedBy>
  <dcterms:modified xsi:type="dcterms:W3CDTF">2025-04-17T02:12:27Z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D1BA0F076F3F45F5A4EC113A94463AE6_12</vt:lpwstr>
  </property>
  <property fmtid="{D5CDD505-2E9C-101B-9397-08002B2CF9AE}" pid="4" name="KSOTemplateDocerSaveRecord">
    <vt:lpwstr>eyJoZGlkIjoiZDE5MzRkZDA5ZDU1NDZiMTUzZDg4MGM3NWJmMThlMDkiLCJ1c2VySWQiOiI3NDYwMTM1NjIifQ==</vt:lpwstr>
  </property>
</Properties>
</file>