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信访局部门</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1400" w:firstLineChars="35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城步苗族自治县信访局</w:t>
      </w:r>
    </w:p>
    <w:p>
      <w:pPr>
        <w:spacing w:line="600" w:lineRule="exact"/>
        <w:ind w:firstLine="3400" w:firstLineChars="85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4</w:t>
      </w:r>
      <w:r>
        <w:rPr>
          <w:rFonts w:hint="eastAsia" w:ascii="仿宋" w:hAnsi="仿宋" w:eastAsia="仿宋" w:cs="仿宋"/>
          <w:sz w:val="40"/>
          <w:szCs w:val="40"/>
        </w:rPr>
        <w:t>月</w:t>
      </w:r>
      <w:r>
        <w:rPr>
          <w:rFonts w:hint="eastAsia" w:ascii="仿宋" w:hAnsi="仿宋" w:eastAsia="仿宋" w:cs="仿宋"/>
          <w:sz w:val="40"/>
          <w:szCs w:val="40"/>
          <w:lang w:val="en-US" w:eastAsia="zh-CN"/>
        </w:rPr>
        <w:t>11</w:t>
      </w:r>
      <w:r>
        <w:rPr>
          <w:rFonts w:hint="eastAsia" w:ascii="仿宋" w:hAnsi="仿宋" w:eastAsia="仿宋" w:cs="仿宋"/>
          <w:sz w:val="40"/>
          <w:szCs w:val="40"/>
        </w:rPr>
        <w:t>日</w:t>
      </w:r>
    </w:p>
    <w:p/>
    <w:p/>
    <w:p/>
    <w:p/>
    <w:p/>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drawing>
          <wp:inline distT="0" distB="0" distL="114300" distR="114300">
            <wp:extent cx="5742940" cy="7898130"/>
            <wp:effectExtent l="0" t="0" r="10160" b="7620"/>
            <wp:docPr id="6" name="图片 6" descr="微信图片_2025041709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0417093607"/>
                    <pic:cNvPicPr>
                      <a:picLocks noChangeAspect="1"/>
                    </pic:cNvPicPr>
                  </pic:nvPicPr>
                  <pic:blipFill>
                    <a:blip r:embed="rId4"/>
                    <a:stretch>
                      <a:fillRect/>
                    </a:stretch>
                  </pic:blipFill>
                  <pic:spPr>
                    <a:xfrm>
                      <a:off x="0" y="0"/>
                      <a:ext cx="5742940" cy="7898130"/>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default" w:ascii="方正小标宋_GBK" w:hAnsi="方正小标宋_GBK" w:eastAsia="方正小标宋_GBK" w:cs="方正小标宋_GBK"/>
          <w:i w:val="0"/>
          <w:iCs w:val="0"/>
          <w:caps w:val="0"/>
          <w:color w:val="000000"/>
          <w:spacing w:val="0"/>
          <w:sz w:val="44"/>
          <w:szCs w:val="44"/>
          <w:shd w:val="clear" w:fill="FFFFFF"/>
          <w:lang w:val="en-US"/>
        </w:rPr>
      </w:pPr>
      <w:r>
        <w:rPr>
          <w:rFonts w:hint="default" w:ascii="方正小标宋_GBK" w:hAnsi="方正小标宋_GBK" w:eastAsia="方正小标宋_GBK" w:cs="方正小标宋_GBK"/>
          <w:i w:val="0"/>
          <w:iCs w:val="0"/>
          <w:caps w:val="0"/>
          <w:color w:val="000000"/>
          <w:spacing w:val="0"/>
          <w:sz w:val="44"/>
          <w:szCs w:val="44"/>
          <w:shd w:val="clear" w:fill="FFFFFF"/>
          <w:lang w:val="en-US"/>
        </w:rPr>
        <w:drawing>
          <wp:inline distT="0" distB="0" distL="114300" distR="114300">
            <wp:extent cx="5742940" cy="7898130"/>
            <wp:effectExtent l="0" t="0" r="10160" b="7620"/>
            <wp:docPr id="3" name="图片 3" descr="微信图片_2025041709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417093607"/>
                    <pic:cNvPicPr>
                      <a:picLocks noChangeAspect="1"/>
                    </pic:cNvPicPr>
                  </pic:nvPicPr>
                  <pic:blipFill>
                    <a:blip r:embed="rId4"/>
                    <a:stretch>
                      <a:fillRect/>
                    </a:stretch>
                  </pic:blipFill>
                  <pic:spPr>
                    <a:xfrm>
                      <a:off x="0" y="0"/>
                      <a:ext cx="5742940" cy="7898130"/>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default" w:ascii="方正小标宋_GBK" w:hAnsi="方正小标宋_GBK" w:eastAsia="方正小标宋_GBK" w:cs="方正小标宋_GBK"/>
          <w:i w:val="0"/>
          <w:iCs w:val="0"/>
          <w:caps w:val="0"/>
          <w:color w:val="000000"/>
          <w:spacing w:val="0"/>
          <w:sz w:val="44"/>
          <w:szCs w:val="44"/>
          <w:shd w:val="clear" w:fill="FFFFFF"/>
          <w:lang w:val="en-US"/>
        </w:rPr>
      </w:pPr>
      <w:r>
        <w:rPr>
          <w:rFonts w:hint="default" w:ascii="方正小标宋_GBK" w:hAnsi="方正小标宋_GBK" w:eastAsia="方正小标宋_GBK" w:cs="方正小标宋_GBK"/>
          <w:i w:val="0"/>
          <w:iCs w:val="0"/>
          <w:caps w:val="0"/>
          <w:color w:val="000000"/>
          <w:spacing w:val="0"/>
          <w:sz w:val="44"/>
          <w:szCs w:val="44"/>
          <w:shd w:val="clear" w:fill="FFFFFF"/>
          <w:lang w:val="en-US"/>
        </w:rPr>
        <w:drawing>
          <wp:inline distT="0" distB="0" distL="114300" distR="114300">
            <wp:extent cx="5745480" cy="4329430"/>
            <wp:effectExtent l="0" t="0" r="7620" b="13970"/>
            <wp:docPr id="1" name="图片 1" descr="4914683b56a0ba0fd944c7f260ff0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14683b56a0ba0fd944c7f260ff0af"/>
                    <pic:cNvPicPr>
                      <a:picLocks noChangeAspect="1"/>
                    </pic:cNvPicPr>
                  </pic:nvPicPr>
                  <pic:blipFill>
                    <a:blip r:embed="rId5"/>
                    <a:stretch>
                      <a:fillRect/>
                    </a:stretch>
                  </pic:blipFill>
                  <pic:spPr>
                    <a:xfrm>
                      <a:off x="0" y="0"/>
                      <a:ext cx="5745480" cy="4329430"/>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bookmarkStart w:id="0" w:name="_GoBack"/>
      <w:r>
        <w:rPr>
          <w:rFonts w:hint="default" w:ascii="方正小标宋_GBK" w:hAnsi="方正小标宋_GBK" w:eastAsia="方正小标宋_GBK" w:cs="方正小标宋_GBK"/>
          <w:i w:val="0"/>
          <w:iCs w:val="0"/>
          <w:caps w:val="0"/>
          <w:color w:val="000000"/>
          <w:spacing w:val="0"/>
          <w:sz w:val="44"/>
          <w:szCs w:val="44"/>
          <w:shd w:val="clear" w:fill="FFFFFF"/>
          <w:lang w:val="en-US"/>
        </w:rPr>
        <w:drawing>
          <wp:inline distT="0" distB="0" distL="114300" distR="114300">
            <wp:extent cx="5742940" cy="7898130"/>
            <wp:effectExtent l="0" t="0" r="10160" b="7620"/>
            <wp:docPr id="2" name="图片 2" descr="微信图片_2025041709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417093607"/>
                    <pic:cNvPicPr>
                      <a:picLocks noChangeAspect="1"/>
                    </pic:cNvPicPr>
                  </pic:nvPicPr>
                  <pic:blipFill>
                    <a:blip r:embed="rId4"/>
                    <a:stretch>
                      <a:fillRect/>
                    </a:stretch>
                  </pic:blipFill>
                  <pic:spPr>
                    <a:xfrm>
                      <a:off x="0" y="0"/>
                      <a:ext cx="5742940" cy="7898130"/>
                    </a:xfrm>
                    <a:prstGeom prst="rect">
                      <a:avLst/>
                    </a:prstGeom>
                  </pic:spPr>
                </pic:pic>
              </a:graphicData>
            </a:graphic>
          </wp:inline>
        </w:drawing>
      </w:r>
      <w:bookmarkEnd w:id="0"/>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信访局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adjustRightInd w:val="0"/>
        <w:snapToGrid w:val="0"/>
        <w:spacing w:line="600" w:lineRule="exact"/>
        <w:ind w:firstLine="960" w:firstLineChars="300"/>
        <w:rPr>
          <w:rFonts w:hint="eastAsia" w:ascii="仿宋" w:hAnsi="仿宋" w:eastAsia="仿宋"/>
          <w:sz w:val="32"/>
          <w:szCs w:val="32"/>
        </w:rPr>
      </w:pPr>
      <w:r>
        <w:rPr>
          <w:rFonts w:hint="eastAsia" w:ascii="仿宋" w:hAnsi="仿宋" w:eastAsia="仿宋"/>
          <w:sz w:val="32"/>
          <w:szCs w:val="32"/>
        </w:rPr>
        <w:t>设</w:t>
      </w:r>
      <w:r>
        <w:rPr>
          <w:rFonts w:hint="eastAsia" w:ascii="仿宋" w:hAnsi="仿宋" w:eastAsia="仿宋"/>
          <w:sz w:val="32"/>
          <w:szCs w:val="32"/>
          <w:lang w:eastAsia="zh-CN"/>
        </w:rPr>
        <w:t>两个</w:t>
      </w:r>
      <w:r>
        <w:rPr>
          <w:rFonts w:hint="eastAsia" w:ascii="仿宋" w:hAnsi="仿宋" w:eastAsia="仿宋"/>
          <w:sz w:val="32"/>
          <w:szCs w:val="32"/>
        </w:rPr>
        <w:t>股（室）：办公室、</w:t>
      </w:r>
      <w:r>
        <w:rPr>
          <w:rFonts w:hint="eastAsia" w:ascii="仿宋" w:hAnsi="仿宋" w:eastAsia="仿宋"/>
          <w:sz w:val="32"/>
          <w:szCs w:val="32"/>
          <w:lang w:eastAsia="zh-CN"/>
        </w:rPr>
        <w:t>业务</w:t>
      </w:r>
      <w:r>
        <w:rPr>
          <w:rFonts w:hint="eastAsia" w:ascii="仿宋" w:hAnsi="仿宋" w:eastAsia="仿宋"/>
          <w:sz w:val="32"/>
          <w:szCs w:val="32"/>
        </w:rPr>
        <w:t>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（二）人员编制情况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仿宋" w:hAnsi="仿宋" w:eastAsia="仿宋"/>
          <w:sz w:val="32"/>
          <w:szCs w:val="32"/>
        </w:rPr>
        <w:t>我局有</w:t>
      </w:r>
      <w:r>
        <w:rPr>
          <w:rFonts w:hint="eastAsia" w:ascii="仿宋" w:hAnsi="仿宋" w:eastAsia="仿宋"/>
          <w:sz w:val="32"/>
          <w:szCs w:val="32"/>
          <w:lang w:eastAsia="zh-CN"/>
        </w:rPr>
        <w:t>行政编制</w:t>
      </w:r>
      <w:r>
        <w:rPr>
          <w:rFonts w:hint="eastAsia" w:ascii="仿宋" w:hAnsi="仿宋" w:eastAsia="仿宋"/>
          <w:sz w:val="32"/>
          <w:szCs w:val="32"/>
          <w:lang w:val="en-US" w:eastAsia="zh-CN"/>
        </w:rPr>
        <w:t>5人，</w:t>
      </w:r>
      <w:r>
        <w:rPr>
          <w:rFonts w:hint="eastAsia" w:ascii="仿宋" w:hAnsi="仿宋" w:eastAsia="仿宋"/>
          <w:sz w:val="32"/>
          <w:szCs w:val="32"/>
        </w:rPr>
        <w:t>机关事业编制</w:t>
      </w:r>
      <w:r>
        <w:rPr>
          <w:rFonts w:hint="eastAsia" w:ascii="仿宋" w:hAnsi="仿宋" w:eastAsia="仿宋"/>
          <w:sz w:val="32"/>
          <w:szCs w:val="32"/>
          <w:lang w:val="en-US" w:eastAsia="zh-CN"/>
        </w:rPr>
        <w:t>9</w:t>
      </w:r>
      <w:r>
        <w:rPr>
          <w:rFonts w:hint="eastAsia" w:ascii="仿宋" w:hAnsi="仿宋" w:eastAsia="仿宋"/>
          <w:sz w:val="32"/>
          <w:szCs w:val="32"/>
          <w:lang w:eastAsia="zh-CN"/>
        </w:rPr>
        <w:t>人</w:t>
      </w:r>
      <w:r>
        <w:rPr>
          <w:rFonts w:hint="eastAsia" w:ascii="仿宋" w:hAnsi="仿宋" w:eastAsia="仿宋"/>
          <w:sz w:val="32"/>
          <w:szCs w:val="32"/>
        </w:rPr>
        <w:t>，现实有人数1</w:t>
      </w:r>
      <w:r>
        <w:rPr>
          <w:rFonts w:hint="eastAsia" w:ascii="仿宋" w:hAnsi="仿宋" w:eastAsia="仿宋"/>
          <w:sz w:val="32"/>
          <w:szCs w:val="32"/>
          <w:lang w:val="en-US" w:eastAsia="zh-CN"/>
        </w:rPr>
        <w:t>4</w:t>
      </w:r>
      <w:r>
        <w:rPr>
          <w:rFonts w:hint="eastAsia" w:ascii="仿宋" w:hAnsi="仿宋" w:eastAsia="仿宋"/>
          <w:sz w:val="32"/>
          <w:szCs w:val="32"/>
        </w:rPr>
        <w:t>人，其</w:t>
      </w:r>
      <w:r>
        <w:rPr>
          <w:rFonts w:hint="eastAsia" w:ascii="仿宋" w:hAnsi="仿宋" w:eastAsia="仿宋"/>
          <w:sz w:val="32"/>
          <w:szCs w:val="32"/>
          <w:lang w:eastAsia="zh-CN"/>
        </w:rPr>
        <w:t>中</w:t>
      </w:r>
      <w:r>
        <w:rPr>
          <w:rFonts w:hint="eastAsia" w:ascii="仿宋" w:hAnsi="仿宋" w:eastAsia="仿宋"/>
          <w:sz w:val="32"/>
          <w:szCs w:val="32"/>
        </w:rPr>
        <w:t>局长1人，副局长2人</w:t>
      </w:r>
      <w:r>
        <w:rPr>
          <w:rFonts w:hint="eastAsia" w:ascii="仿宋" w:hAnsi="仿宋" w:eastAsia="仿宋"/>
          <w:sz w:val="32"/>
          <w:szCs w:val="32"/>
          <w:lang w:eastAsia="zh-CN"/>
        </w:rPr>
        <w:t>。其中四调</w:t>
      </w:r>
      <w:r>
        <w:rPr>
          <w:rFonts w:hint="eastAsia" w:ascii="仿宋" w:hAnsi="仿宋" w:eastAsia="仿宋"/>
          <w:sz w:val="32"/>
          <w:szCs w:val="32"/>
          <w:lang w:val="en-US" w:eastAsia="zh-CN"/>
        </w:rPr>
        <w:t>1</w:t>
      </w:r>
      <w:r>
        <w:rPr>
          <w:rFonts w:hint="eastAsia" w:ascii="仿宋" w:hAnsi="仿宋" w:eastAsia="仿宋"/>
          <w:sz w:val="32"/>
          <w:szCs w:val="32"/>
          <w:lang w:eastAsia="zh-CN"/>
        </w:rPr>
        <w:t>人，一级</w:t>
      </w:r>
      <w:r>
        <w:rPr>
          <w:rFonts w:hint="eastAsia" w:ascii="仿宋" w:hAnsi="仿宋" w:eastAsia="仿宋"/>
          <w:sz w:val="32"/>
          <w:szCs w:val="32"/>
        </w:rPr>
        <w:t>主任科员</w:t>
      </w:r>
      <w:r>
        <w:rPr>
          <w:rFonts w:hint="eastAsia" w:ascii="仿宋" w:hAnsi="仿宋" w:eastAsia="仿宋"/>
          <w:sz w:val="32"/>
          <w:szCs w:val="32"/>
          <w:lang w:val="en-US" w:eastAsia="zh-CN"/>
        </w:rPr>
        <w:t>1</w:t>
      </w:r>
      <w:r>
        <w:rPr>
          <w:rFonts w:hint="eastAsia" w:ascii="仿宋" w:hAnsi="仿宋" w:eastAsia="仿宋"/>
          <w:sz w:val="32"/>
          <w:szCs w:val="32"/>
        </w:rPr>
        <w:t>人，</w:t>
      </w:r>
      <w:r>
        <w:rPr>
          <w:rFonts w:hint="eastAsia" w:ascii="仿宋" w:hAnsi="仿宋" w:eastAsia="仿宋"/>
          <w:sz w:val="32"/>
          <w:szCs w:val="32"/>
          <w:lang w:eastAsia="zh-CN"/>
        </w:rPr>
        <w:t>三级</w:t>
      </w:r>
      <w:r>
        <w:rPr>
          <w:rFonts w:hint="eastAsia" w:ascii="仿宋" w:hAnsi="仿宋" w:eastAsia="仿宋"/>
          <w:sz w:val="32"/>
          <w:szCs w:val="32"/>
        </w:rPr>
        <w:t>主任科员</w:t>
      </w:r>
      <w:r>
        <w:rPr>
          <w:rFonts w:hint="eastAsia" w:ascii="仿宋" w:hAnsi="仿宋" w:eastAsia="仿宋"/>
          <w:sz w:val="32"/>
          <w:szCs w:val="32"/>
          <w:lang w:val="en-US" w:eastAsia="zh-CN"/>
        </w:rPr>
        <w:t>3</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职工</w:t>
      </w:r>
      <w:r>
        <w:rPr>
          <w:rFonts w:hint="eastAsia" w:ascii="仿宋" w:hAnsi="仿宋" w:eastAsia="仿宋"/>
          <w:sz w:val="32"/>
          <w:szCs w:val="32"/>
          <w:lang w:val="en-US" w:eastAsia="zh-CN"/>
        </w:rPr>
        <w:t>9</w:t>
      </w:r>
      <w:r>
        <w:rPr>
          <w:rFonts w:hint="eastAsia" w:ascii="仿宋" w:hAnsi="仿宋" w:eastAsia="仿宋"/>
          <w:sz w:val="32"/>
          <w:szCs w:val="32"/>
        </w:rPr>
        <w:t>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ind w:firstLine="640" w:firstLineChars="200"/>
        <w:rPr>
          <w:rFonts w:ascii="仿宋" w:hAnsi="仿宋" w:eastAsia="仿宋" w:cs="仿宋"/>
          <w:sz w:val="32"/>
          <w:szCs w:val="32"/>
        </w:rPr>
      </w:pPr>
      <w:r>
        <w:rPr>
          <w:rFonts w:hint="eastAsia" w:ascii="仿宋" w:hAnsi="仿宋" w:eastAsia="仿宋" w:cs="仿宋"/>
          <w:sz w:val="32"/>
          <w:szCs w:val="32"/>
        </w:rPr>
        <w:t>（1）负责处理人民群众和境外人士给县委、县人民政府及领导的来信，接待群众来访，为领导同志接待上访群众做好组织服务工作。</w:t>
      </w:r>
    </w:p>
    <w:p>
      <w:pPr>
        <w:ind w:firstLine="640" w:firstLineChars="200"/>
        <w:rPr>
          <w:rFonts w:ascii="仿宋" w:hAnsi="仿宋" w:eastAsia="仿宋" w:cs="仿宋"/>
          <w:sz w:val="32"/>
          <w:szCs w:val="32"/>
        </w:rPr>
      </w:pPr>
      <w:r>
        <w:rPr>
          <w:rFonts w:hint="eastAsia" w:ascii="仿宋" w:hAnsi="仿宋" w:eastAsia="仿宋" w:cs="仿宋"/>
          <w:sz w:val="32"/>
          <w:szCs w:val="32"/>
        </w:rPr>
        <w:t>（2）承办上级机关和县委、</w:t>
      </w:r>
      <w:r>
        <w:rPr>
          <w:rFonts w:hint="eastAsia" w:ascii="仿宋" w:hAnsi="仿宋" w:eastAsia="仿宋" w:cs="仿宋"/>
          <w:sz w:val="32"/>
          <w:szCs w:val="32"/>
          <w:lang w:eastAsia="zh-CN"/>
        </w:rPr>
        <w:t>县</w:t>
      </w:r>
      <w:r>
        <w:rPr>
          <w:rFonts w:hint="eastAsia" w:ascii="仿宋" w:hAnsi="仿宋" w:eastAsia="仿宋" w:cs="仿宋"/>
          <w:sz w:val="32"/>
          <w:szCs w:val="32"/>
        </w:rPr>
        <w:t>政府及县委办公室、县政府办公室交办的信访事项，督促检查领导同志批示件的落实情况；向乡镇和县直部门交外的信访事项，督促检查处理落实情况。</w:t>
      </w:r>
    </w:p>
    <w:p>
      <w:pPr>
        <w:ind w:firstLine="640" w:firstLineChars="200"/>
        <w:rPr>
          <w:rFonts w:ascii="仿宋" w:hAnsi="仿宋" w:eastAsia="仿宋" w:cs="仿宋"/>
          <w:sz w:val="32"/>
          <w:szCs w:val="32"/>
        </w:rPr>
      </w:pPr>
      <w:r>
        <w:rPr>
          <w:rFonts w:hint="eastAsia" w:ascii="仿宋" w:hAnsi="仿宋" w:eastAsia="仿宋" w:cs="仿宋"/>
          <w:sz w:val="32"/>
          <w:szCs w:val="32"/>
        </w:rPr>
        <w:t>（3）综合反映群众来信来访中提出的重要意见、建议和问题；开展调查研究，为县委、县政府提供信访信息。</w:t>
      </w:r>
    </w:p>
    <w:p>
      <w:pPr>
        <w:ind w:firstLine="640" w:firstLineChars="200"/>
        <w:rPr>
          <w:rFonts w:ascii="仿宋" w:hAnsi="仿宋" w:eastAsia="仿宋" w:cs="仿宋"/>
          <w:sz w:val="32"/>
          <w:szCs w:val="32"/>
        </w:rPr>
      </w:pPr>
      <w:r>
        <w:rPr>
          <w:rFonts w:hint="eastAsia" w:ascii="仿宋" w:hAnsi="仿宋" w:eastAsia="仿宋" w:cs="仿宋"/>
          <w:sz w:val="32"/>
          <w:szCs w:val="32"/>
        </w:rPr>
        <w:t>（4）协调有关部门处理跨地区、跨部门的重大信访问题；协调处理群众来县赴市赴省进京和异常、突发性信访事项；协调全县各级党政机关的信访工作。</w:t>
      </w:r>
    </w:p>
    <w:p>
      <w:pPr>
        <w:ind w:firstLine="640" w:firstLineChars="200"/>
        <w:rPr>
          <w:rFonts w:ascii="仿宋" w:hAnsi="仿宋" w:eastAsia="仿宋" w:cs="仿宋"/>
          <w:sz w:val="32"/>
          <w:szCs w:val="32"/>
        </w:rPr>
      </w:pPr>
      <w:r>
        <w:rPr>
          <w:rFonts w:hint="eastAsia" w:ascii="仿宋" w:hAnsi="仿宋" w:eastAsia="仿宋" w:cs="仿宋"/>
          <w:sz w:val="32"/>
          <w:szCs w:val="32"/>
        </w:rPr>
        <w:t>（5）研究、分析信访动态，开展信访工作宣传和理论探讨；指导全县信访业务，总结推广信访工作经验，提出加强和改进信访工作的意见。</w:t>
      </w:r>
    </w:p>
    <w:p>
      <w:pPr>
        <w:ind w:firstLine="640" w:firstLineChars="200"/>
        <w:rPr>
          <w:rFonts w:ascii="仿宋" w:hAnsi="仿宋" w:eastAsia="仿宋" w:cs="仿宋"/>
          <w:sz w:val="32"/>
          <w:szCs w:val="32"/>
        </w:rPr>
      </w:pPr>
      <w:r>
        <w:rPr>
          <w:rFonts w:hint="eastAsia" w:ascii="仿宋" w:hAnsi="仿宋" w:eastAsia="仿宋" w:cs="仿宋"/>
          <w:sz w:val="32"/>
          <w:szCs w:val="32"/>
        </w:rPr>
        <w:t>（6）掌握全县信访工作队伍建设情况，提出加强信访队伍建设措施；对信访工作中的失职、渎职行为提出处理建议；组织信访干部培训。</w:t>
      </w:r>
    </w:p>
    <w:p>
      <w:pPr>
        <w:ind w:firstLine="640" w:firstLineChars="200"/>
        <w:rPr>
          <w:rFonts w:hint="default" w:ascii="楷体_GB2312" w:eastAsia="楷体_GB2312" w:cs="楷体_GB2312"/>
          <w:i w:val="0"/>
          <w:iCs w:val="0"/>
          <w:caps w:val="0"/>
          <w:color w:val="000000"/>
          <w:spacing w:val="0"/>
          <w:sz w:val="32"/>
          <w:szCs w:val="32"/>
          <w:shd w:val="clear" w:fill="FFFFFF"/>
          <w:lang w:val="en-US" w:eastAsia="zh-CN"/>
        </w:rPr>
      </w:pPr>
      <w:r>
        <w:rPr>
          <w:rFonts w:hint="eastAsia" w:ascii="仿宋" w:hAnsi="仿宋" w:eastAsia="仿宋" w:cs="仿宋"/>
          <w:sz w:val="32"/>
          <w:szCs w:val="32"/>
        </w:rPr>
        <w:t>（7）承办县委、县政府及县委办公室、县政府办公室交办的其他事项。</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仿宋" w:hAnsi="仿宋" w:eastAsia="仿宋" w:cs="仿宋"/>
          <w:kern w:val="2"/>
          <w:sz w:val="32"/>
          <w:szCs w:val="32"/>
          <w:lang w:val="en-US" w:eastAsia="zh-CN" w:bidi="ar-SA"/>
        </w:rPr>
        <w:t>深入学习贯彻习近平总书记关于加强和改进人民信访工作的重要思想，坚持以人民为中心，充分发挥信访工作联席会议机制作用，高度重视广大群众信访突出问题，维护群众合法权益和社会和谐稳定。从密切党同人民群众血肉联系、夯实党的执政根基的高度，增强做好信访工作的责任感，带着深厚感情把群众合法合理的诉求解决好。要坚持和发展新时代“枫桥经验”，深入开展涉法信访矛盾排查化解专项行动，整合各方资源形成化解合力，努力将问题解决在萌芽状态、化解在基层。强化政策供给，健全常态化信访督查工作机制，提升化解实效。要着力治理重复信访，实行领导包案，推动疑难问题攻坚，努力做到“事心双解”、“案结事了。完成县委、县政府交办的工作任务。</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6"/>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197.15</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197.15</w:t>
      </w:r>
      <w:r>
        <w:rPr>
          <w:rFonts w:hint="default" w:ascii="Times New Roman" w:hAnsi="Times New Roman" w:eastAsia="仿宋_GB2312" w:cs="Times New Roman"/>
          <w:sz w:val="32"/>
          <w:szCs w:val="32"/>
          <w:lang w:eastAsia="zh-CN"/>
        </w:rPr>
        <w:t>万元；202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197.15</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148.34</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48.84</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514.9</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321.75</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514.9</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383.8</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75</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131.1</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25</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eastAsia="zh-CN"/>
        </w:rPr>
        <w:t>增加驻京、驻长信访工作经费等</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0.9</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0.9</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0.9</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0.9</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100.2</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100.2</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cs="Times New Roman"/>
          <w:color w:val="auto"/>
          <w:kern w:val="0"/>
          <w:sz w:val="32"/>
          <w:szCs w:val="32"/>
          <w:lang w:val="en-US" w:eastAsia="zh-CN" w:bidi="ar-SA"/>
        </w:rPr>
        <w:t>信访局202</w:t>
      </w:r>
      <w:r>
        <w:rPr>
          <w:rFonts w:hint="eastAsia" w:cs="Times New Roman"/>
          <w:color w:val="auto"/>
          <w:kern w:val="0"/>
          <w:sz w:val="32"/>
          <w:szCs w:val="32"/>
          <w:lang w:val="en-US" w:eastAsia="zh-CN" w:bidi="ar-SA"/>
        </w:rPr>
        <w:t>4</w:t>
      </w:r>
      <w:r>
        <w:rPr>
          <w:rFonts w:hint="eastAsia" w:ascii="Times New Roman" w:hAnsi="Times New Roman" w:cs="Times New Roman"/>
          <w:color w:val="auto"/>
          <w:kern w:val="0"/>
          <w:sz w:val="32"/>
          <w:szCs w:val="32"/>
          <w:lang w:val="en-US" w:eastAsia="zh-CN" w:bidi="ar-SA"/>
        </w:rPr>
        <w:t>年无</w:t>
      </w:r>
      <w:r>
        <w:rPr>
          <w:rFonts w:hint="eastAsia" w:ascii="Times New Roman" w:hAnsi="Times New Roman" w:eastAsia="仿宋_GB2312" w:cs="Times New Roman"/>
          <w:color w:val="auto"/>
          <w:kern w:val="0"/>
          <w:sz w:val="32"/>
          <w:szCs w:val="32"/>
          <w:lang w:val="en-US" w:eastAsia="zh-CN" w:bidi="ar-SA"/>
        </w:rPr>
        <w:t>政府性基金</w:t>
      </w:r>
      <w:r>
        <w:rPr>
          <w:rFonts w:hint="eastAsia" w:ascii="Times New Roman" w:hAnsi="Times New Roman" w:cs="Times New Roman"/>
          <w:color w:val="auto"/>
          <w:kern w:val="0"/>
          <w:sz w:val="32"/>
          <w:szCs w:val="32"/>
          <w:lang w:val="en-US" w:eastAsia="zh-CN" w:bidi="ar-SA"/>
        </w:rPr>
        <w:t>的资金。</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cs="Times New Roman"/>
          <w:color w:val="auto"/>
          <w:kern w:val="0"/>
          <w:sz w:val="32"/>
          <w:szCs w:val="32"/>
          <w:lang w:val="en-US" w:eastAsia="zh-CN" w:bidi="ar-SA"/>
        </w:rPr>
        <w:t>信访局202</w:t>
      </w:r>
      <w:r>
        <w:rPr>
          <w:rFonts w:hint="eastAsia" w:cs="Times New Roman"/>
          <w:color w:val="auto"/>
          <w:kern w:val="0"/>
          <w:sz w:val="32"/>
          <w:szCs w:val="32"/>
          <w:lang w:val="en-US" w:eastAsia="zh-CN" w:bidi="ar-SA"/>
        </w:rPr>
        <w:t>4</w:t>
      </w:r>
      <w:r>
        <w:rPr>
          <w:rFonts w:hint="eastAsia" w:ascii="Times New Roman" w:hAnsi="Times New Roman" w:cs="Times New Roman"/>
          <w:color w:val="auto"/>
          <w:kern w:val="0"/>
          <w:sz w:val="32"/>
          <w:szCs w:val="32"/>
          <w:lang w:val="en-US" w:eastAsia="zh-CN" w:bidi="ar-SA"/>
        </w:rPr>
        <w:t>年无</w:t>
      </w:r>
      <w:r>
        <w:rPr>
          <w:rFonts w:hint="eastAsia" w:ascii="Times New Roman" w:hAnsi="Times New Roman" w:eastAsia="仿宋_GB2312" w:cs="Times New Roman"/>
          <w:color w:val="auto"/>
          <w:kern w:val="0"/>
          <w:sz w:val="32"/>
          <w:szCs w:val="32"/>
          <w:lang w:val="en-US" w:eastAsia="zh-CN" w:bidi="ar-SA"/>
        </w:rPr>
        <w:t>国有资本经营的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cs="Times New Roman"/>
          <w:color w:val="auto"/>
          <w:kern w:val="0"/>
          <w:sz w:val="32"/>
          <w:szCs w:val="32"/>
          <w:lang w:val="en-US" w:eastAsia="zh-CN" w:bidi="ar-SA"/>
        </w:rPr>
        <w:t>信访局202</w:t>
      </w:r>
      <w:r>
        <w:rPr>
          <w:rFonts w:hint="eastAsia" w:cs="Times New Roman"/>
          <w:color w:val="auto"/>
          <w:kern w:val="0"/>
          <w:sz w:val="32"/>
          <w:szCs w:val="32"/>
          <w:lang w:val="en-US" w:eastAsia="zh-CN" w:bidi="ar-SA"/>
        </w:rPr>
        <w:t>4</w:t>
      </w:r>
      <w:r>
        <w:rPr>
          <w:rFonts w:hint="eastAsia" w:ascii="Times New Roman" w:hAnsi="Times New Roman" w:cs="Times New Roman"/>
          <w:color w:val="auto"/>
          <w:kern w:val="0"/>
          <w:sz w:val="32"/>
          <w:szCs w:val="32"/>
          <w:lang w:val="en-US" w:eastAsia="zh-CN" w:bidi="ar-SA"/>
        </w:rPr>
        <w:t>年无</w:t>
      </w:r>
      <w:r>
        <w:rPr>
          <w:rFonts w:hint="eastAsia" w:ascii="Times New Roman" w:hAnsi="Times New Roman" w:eastAsia="仿宋_GB2312" w:cs="Times New Roman"/>
          <w:color w:val="auto"/>
          <w:kern w:val="0"/>
          <w:sz w:val="32"/>
          <w:szCs w:val="32"/>
          <w:lang w:val="en-US" w:eastAsia="zh-CN" w:bidi="ar-SA"/>
        </w:rPr>
        <w:t>社会保险基金</w:t>
      </w:r>
      <w:r>
        <w:rPr>
          <w:rFonts w:hint="eastAsia" w:ascii="Times New Roman" w:hAnsi="Times New Roman" w:cs="Times New Roman"/>
          <w:color w:val="auto"/>
          <w:kern w:val="0"/>
          <w:sz w:val="32"/>
          <w:szCs w:val="32"/>
          <w:lang w:val="en-US" w:eastAsia="zh-CN" w:bidi="ar-SA"/>
        </w:rPr>
        <w:t>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6"/>
        <w:keepNext w:val="0"/>
        <w:keepLines w:val="0"/>
        <w:pageBreakBefore w:val="0"/>
        <w:widowControl/>
        <w:kinsoku/>
        <w:wordWrap/>
        <w:overflowPunct/>
        <w:topLinePunct w:val="0"/>
        <w:autoSpaceDE/>
        <w:autoSpaceDN/>
        <w:bidi w:val="0"/>
        <w:adjustRightInd/>
        <w:snapToGrid/>
        <w:spacing w:line="560" w:lineRule="exact"/>
        <w:ind w:left="0" w:leftChars="0" w:firstLine="320" w:firstLineChars="100"/>
        <w:jc w:val="left"/>
        <w:textAlignment w:val="auto"/>
        <w:rPr>
          <w:rFonts w:hint="default" w:ascii="Times New Roman" w:hAnsi="Times New Roman" w:cs="Times New Roman"/>
          <w:color w:val="auto"/>
          <w:kern w:val="0"/>
          <w:sz w:val="32"/>
          <w:szCs w:val="32"/>
          <w:lang w:val="en-US" w:eastAsia="zh-CN" w:bidi="ar-SA"/>
        </w:rPr>
      </w:pPr>
      <w:r>
        <w:rPr>
          <w:rFonts w:hint="default" w:ascii="楷体_GB2312" w:eastAsia="楷体_GB2312" w:cs="楷体_GB2312"/>
          <w:i w:val="0"/>
          <w:iCs w:val="0"/>
          <w:caps w:val="0"/>
          <w:color w:val="000000"/>
          <w:spacing w:val="0"/>
          <w:sz w:val="32"/>
          <w:szCs w:val="32"/>
          <w:shd w:val="clear" w:fill="FFFFFF"/>
        </w:rPr>
        <w:t>（一）综合评价结论。</w:t>
      </w:r>
      <w:r>
        <w:rPr>
          <w:rFonts w:hint="eastAsia" w:ascii="Times New Roman" w:hAnsi="Times New Roman" w:cs="Times New Roman"/>
          <w:color w:val="auto"/>
          <w:kern w:val="0"/>
          <w:sz w:val="32"/>
          <w:szCs w:val="32"/>
          <w:lang w:val="en-US" w:eastAsia="zh-CN" w:bidi="ar-SA"/>
        </w:rPr>
        <w:t>绩效目标完成情况：工作完成率、工作完成及时率、质量达标率都达到了100%。自评得分98分。</w:t>
      </w:r>
    </w:p>
    <w:p>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cs="Times New Roman"/>
          <w:color w:val="auto"/>
          <w:kern w:val="0"/>
          <w:sz w:val="32"/>
          <w:szCs w:val="32"/>
          <w:lang w:val="en-US" w:eastAsia="zh-CN" w:bidi="ar-SA"/>
        </w:rPr>
      </w:pPr>
      <w:r>
        <w:rPr>
          <w:rFonts w:hint="eastAsia" w:ascii="Times New Roman" w:hAnsi="Times New Roman" w:cs="Times New Roman"/>
          <w:color w:val="auto"/>
          <w:kern w:val="0"/>
          <w:sz w:val="32"/>
          <w:szCs w:val="32"/>
          <w:lang w:val="en-US" w:eastAsia="zh-CN" w:bidi="ar-SA"/>
        </w:rPr>
        <w:t>公用经费列支情况：202</w:t>
      </w:r>
      <w:r>
        <w:rPr>
          <w:rFonts w:hint="eastAsia" w:cs="Times New Roman"/>
          <w:color w:val="auto"/>
          <w:kern w:val="0"/>
          <w:sz w:val="32"/>
          <w:szCs w:val="32"/>
          <w:lang w:val="en-US" w:eastAsia="zh-CN" w:bidi="ar-SA"/>
        </w:rPr>
        <w:t>4</w:t>
      </w:r>
      <w:r>
        <w:rPr>
          <w:rFonts w:hint="eastAsia" w:ascii="Times New Roman" w:hAnsi="Times New Roman" w:cs="Times New Roman"/>
          <w:color w:val="auto"/>
          <w:kern w:val="0"/>
          <w:sz w:val="32"/>
          <w:szCs w:val="32"/>
          <w:lang w:val="en-US" w:eastAsia="zh-CN" w:bidi="ar-SA"/>
        </w:rPr>
        <w:t>年，我局严格落实中央和省政府关于党政机关厉行节约反对浪费的规定，切实规范公务消费行为，严格控制并尽量压缩“三公”经费、会议费、培训费、办公设备购置费和差旅费等办公性行政经费开支，严格执行《湖南省党政机关国内公务接待管理办法》，严把“三公”经费开支关，控制在预算范围，本年度我单位三公经费主要为公务接待费9000元，与上年持平。</w:t>
      </w:r>
    </w:p>
    <w:p>
      <w:pPr>
        <w:numPr>
          <w:ilvl w:val="0"/>
          <w:numId w:val="3"/>
        </w:numPr>
        <w:ind w:firstLine="640" w:firstLineChars="200"/>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评价指标分析（或综合评价情况）。</w:t>
      </w:r>
    </w:p>
    <w:p>
      <w:pPr>
        <w:numPr>
          <w:ilvl w:val="0"/>
          <w:numId w:val="0"/>
        </w:numPr>
        <w:ind w:firstLine="960" w:firstLineChars="300"/>
        <w:rPr>
          <w:rFonts w:hint="default" w:ascii="楷体_GB2312" w:eastAsia="楷体_GB2312" w:cs="楷体_GB2312"/>
          <w:i w:val="0"/>
          <w:iCs w:val="0"/>
          <w:caps w:val="0"/>
          <w:color w:val="000000"/>
          <w:spacing w:val="0"/>
          <w:sz w:val="32"/>
          <w:szCs w:val="32"/>
        </w:rPr>
      </w:pPr>
      <w:r>
        <w:rPr>
          <w:rFonts w:ascii="仿宋" w:hAnsi="仿宋" w:eastAsia="仿宋"/>
          <w:bCs/>
          <w:sz w:val="32"/>
          <w:szCs w:val="32"/>
        </w:rPr>
        <w:t>1</w:t>
      </w:r>
      <w:r>
        <w:rPr>
          <w:rFonts w:hint="eastAsia" w:ascii="仿宋" w:hAnsi="仿宋" w:eastAsia="仿宋"/>
          <w:bCs/>
          <w:sz w:val="32"/>
          <w:szCs w:val="32"/>
        </w:rPr>
        <w:t>、人员经费保证了工作人员安心工作，全心全意服务</w:t>
      </w:r>
      <w:r>
        <w:rPr>
          <w:rFonts w:hint="eastAsia" w:ascii="仿宋" w:hAnsi="仿宋" w:eastAsia="仿宋"/>
          <w:bCs/>
          <w:sz w:val="32"/>
          <w:szCs w:val="32"/>
          <w:lang w:eastAsia="zh-CN"/>
        </w:rPr>
        <w:t>来访</w:t>
      </w:r>
      <w:r>
        <w:rPr>
          <w:rFonts w:hint="eastAsia" w:ascii="仿宋" w:hAnsi="仿宋" w:eastAsia="仿宋"/>
          <w:bCs/>
          <w:sz w:val="32"/>
          <w:szCs w:val="32"/>
        </w:rPr>
        <w:t>群众；</w:t>
      </w:r>
      <w:r>
        <w:rPr>
          <w:rFonts w:ascii="仿宋" w:hAnsi="仿宋" w:eastAsia="仿宋"/>
          <w:bCs/>
          <w:sz w:val="32"/>
          <w:szCs w:val="32"/>
        </w:rPr>
        <w:t>2</w:t>
      </w:r>
      <w:r>
        <w:rPr>
          <w:rFonts w:hint="eastAsia" w:ascii="仿宋" w:hAnsi="仿宋" w:eastAsia="仿宋"/>
          <w:bCs/>
          <w:sz w:val="32"/>
          <w:szCs w:val="32"/>
        </w:rPr>
        <w:t>、办公设备的配置和完善大大提高了工作效率、也为工作人员和</w:t>
      </w:r>
      <w:r>
        <w:rPr>
          <w:rFonts w:hint="eastAsia" w:ascii="仿宋" w:hAnsi="仿宋" w:eastAsia="仿宋"/>
          <w:bCs/>
          <w:sz w:val="32"/>
          <w:szCs w:val="32"/>
          <w:lang w:eastAsia="zh-CN"/>
        </w:rPr>
        <w:t>来访</w:t>
      </w:r>
      <w:r>
        <w:rPr>
          <w:rFonts w:hint="eastAsia" w:ascii="仿宋" w:hAnsi="仿宋" w:eastAsia="仿宋"/>
          <w:bCs/>
          <w:sz w:val="32"/>
          <w:szCs w:val="32"/>
        </w:rPr>
        <w:t>群众提供了一个好的环境。</w:t>
      </w:r>
      <w:r>
        <w:rPr>
          <w:rFonts w:ascii="仿宋" w:hAnsi="仿宋" w:eastAsia="仿宋"/>
          <w:bCs/>
          <w:sz w:val="32"/>
          <w:szCs w:val="32"/>
        </w:rPr>
        <w:t>3</w:t>
      </w:r>
      <w:r>
        <w:rPr>
          <w:rFonts w:hint="eastAsia" w:ascii="仿宋" w:hAnsi="仿宋" w:eastAsia="仿宋"/>
          <w:bCs/>
          <w:sz w:val="32"/>
          <w:szCs w:val="32"/>
        </w:rPr>
        <w:t>、办公费用保证了单位的正常运转和</w:t>
      </w:r>
      <w:r>
        <w:rPr>
          <w:rFonts w:hint="eastAsia" w:ascii="仿宋" w:hAnsi="仿宋" w:eastAsia="仿宋"/>
          <w:bCs/>
          <w:sz w:val="32"/>
          <w:szCs w:val="32"/>
          <w:lang w:eastAsia="zh-CN"/>
        </w:rPr>
        <w:t>各个特别防护期的信访维稳</w:t>
      </w:r>
      <w:r>
        <w:rPr>
          <w:rFonts w:hint="eastAsia" w:ascii="仿宋" w:hAnsi="仿宋" w:eastAsia="仿宋"/>
          <w:bCs/>
          <w:sz w:val="32"/>
          <w:szCs w:val="32"/>
        </w:rPr>
        <w:t>。</w:t>
      </w:r>
      <w:r>
        <w:rPr>
          <w:rFonts w:ascii="仿宋" w:hAnsi="仿宋" w:eastAsia="仿宋"/>
          <w:bCs/>
          <w:sz w:val="32"/>
          <w:szCs w:val="32"/>
        </w:rPr>
        <w:t>4</w:t>
      </w:r>
      <w:r>
        <w:rPr>
          <w:rFonts w:hint="eastAsia" w:ascii="仿宋" w:hAnsi="仿宋" w:eastAsia="仿宋"/>
          <w:bCs/>
          <w:sz w:val="32"/>
          <w:szCs w:val="32"/>
        </w:rPr>
        <w:t>、“三公”经费我们尽量做到厉行节约，遵守党纪法规和财经纪律。</w:t>
      </w:r>
      <w:r>
        <w:rPr>
          <w:rFonts w:hint="eastAsia" w:ascii="仿宋" w:hAnsi="仿宋" w:eastAsia="仿宋"/>
          <w:bCs/>
          <w:sz w:val="32"/>
          <w:szCs w:val="32"/>
          <w:lang w:val="en-US" w:eastAsia="zh-CN"/>
        </w:rPr>
        <w:t>5、</w:t>
      </w:r>
      <w:r>
        <w:rPr>
          <w:rFonts w:hint="eastAsia" w:ascii="仿宋" w:hAnsi="仿宋" w:eastAsia="仿宋" w:cs="仿宋"/>
          <w:sz w:val="32"/>
          <w:szCs w:val="32"/>
          <w:lang w:eastAsia="zh-CN"/>
        </w:rPr>
        <w:t>来访群众和上级督查对本局工作</w:t>
      </w:r>
      <w:r>
        <w:rPr>
          <w:rFonts w:hint="eastAsia" w:ascii="仿宋" w:hAnsi="仿宋" w:eastAsia="仿宋" w:cs="仿宋"/>
          <w:sz w:val="32"/>
          <w:szCs w:val="32"/>
        </w:rPr>
        <w:t>满意度</w:t>
      </w:r>
      <w:r>
        <w:rPr>
          <w:rFonts w:hint="eastAsia" w:ascii="仿宋" w:hAnsi="仿宋" w:eastAsia="仿宋" w:cs="仿宋"/>
          <w:sz w:val="32"/>
          <w:szCs w:val="32"/>
          <w:lang w:eastAsia="zh-CN"/>
        </w:rPr>
        <w:t>高。</w:t>
      </w:r>
      <w:r>
        <w:rPr>
          <w:rFonts w:hint="eastAsia" w:ascii="仿宋" w:hAnsi="仿宋" w:eastAsia="仿宋"/>
          <w:color w:val="000000"/>
          <w:sz w:val="32"/>
          <w:szCs w:val="32"/>
          <w:shd w:val="clear" w:color="auto" w:fill="FFFFFF"/>
        </w:rPr>
        <w:t>20</w:t>
      </w:r>
      <w:r>
        <w:rPr>
          <w:rFonts w:hint="eastAsia" w:ascii="仿宋" w:hAnsi="仿宋" w:eastAsia="仿宋"/>
          <w:color w:val="000000"/>
          <w:sz w:val="32"/>
          <w:szCs w:val="32"/>
          <w:shd w:val="clear" w:color="auto" w:fill="FFFFFF"/>
          <w:lang w:val="en-US" w:eastAsia="zh-CN"/>
        </w:rPr>
        <w:t>24</w:t>
      </w:r>
      <w:r>
        <w:rPr>
          <w:rFonts w:hint="eastAsia" w:ascii="仿宋" w:hAnsi="仿宋" w:eastAsia="仿宋"/>
          <w:color w:val="000000"/>
          <w:sz w:val="32"/>
          <w:szCs w:val="32"/>
          <w:shd w:val="clear" w:color="auto" w:fill="FFFFFF"/>
        </w:rPr>
        <w:t>年度，我局工作有序开展，不断加大</w:t>
      </w:r>
      <w:r>
        <w:rPr>
          <w:rFonts w:hint="eastAsia" w:ascii="仿宋" w:hAnsi="仿宋" w:eastAsia="仿宋"/>
          <w:color w:val="000000"/>
          <w:sz w:val="32"/>
          <w:szCs w:val="32"/>
          <w:shd w:val="clear" w:color="auto" w:fill="FFFFFF"/>
          <w:lang w:eastAsia="zh-CN"/>
        </w:rPr>
        <w:t>积案化解</w:t>
      </w:r>
      <w:r>
        <w:rPr>
          <w:rFonts w:hint="eastAsia" w:ascii="仿宋" w:hAnsi="仿宋" w:eastAsia="仿宋"/>
          <w:color w:val="000000"/>
          <w:sz w:val="32"/>
          <w:szCs w:val="32"/>
          <w:shd w:val="clear" w:color="auto" w:fill="FFFFFF"/>
        </w:rPr>
        <w:t>力度，</w:t>
      </w:r>
      <w:r>
        <w:rPr>
          <w:rFonts w:hint="eastAsia" w:ascii="仿宋" w:hAnsi="仿宋" w:eastAsia="仿宋"/>
          <w:bCs/>
          <w:sz w:val="32"/>
          <w:szCs w:val="32"/>
        </w:rPr>
        <w:t>社会公众（信访人员）对本单位工作越来越满意，表现在：我们的工作人员对待来访对象热情周到，且业务水平较高；及时转办、交办、督办、回访信访案件，</w:t>
      </w:r>
      <w:r>
        <w:rPr>
          <w:rFonts w:hint="eastAsia" w:ascii="仿宋" w:hAnsi="仿宋" w:eastAsia="仿宋"/>
          <w:bCs/>
          <w:sz w:val="32"/>
          <w:szCs w:val="32"/>
          <w:lang w:eastAsia="zh-CN"/>
        </w:rPr>
        <w:t>化解了第一批和第二批中央联席办交办的“治重化积”案件</w:t>
      </w:r>
      <w:r>
        <w:rPr>
          <w:rFonts w:hint="eastAsia" w:ascii="仿宋" w:hAnsi="仿宋" w:eastAsia="仿宋"/>
          <w:bCs/>
          <w:sz w:val="32"/>
          <w:szCs w:val="32"/>
          <w:lang w:val="en-US" w:eastAsia="zh-CN"/>
        </w:rPr>
        <w:t>88件，做了信访工作源头治理大排查，办结了省委巡视组交办的信访案件327件，矛调中心的建设运行受到市信访局表扬，治理重复信访事项已完成9件。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、财会人员一身多职，极少参加继续教育和业务培训，致使工作难以提升。</w:t>
      </w:r>
    </w:p>
    <w:p>
      <w:pPr>
        <w:spacing w:line="560" w:lineRule="exact"/>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、内部控制制度不够健全，仍需进一步明确和完善。</w:t>
      </w:r>
    </w:p>
    <w:p>
      <w:pPr>
        <w:pStyle w:val="2"/>
        <w:widowControl/>
        <w:spacing w:beforeAutospacing="0" w:afterAutospacing="0" w:line="33" w:lineRule="atLeas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、经费</w:t>
      </w:r>
      <w:r>
        <w:rPr>
          <w:rFonts w:hint="eastAsia" w:ascii="仿宋" w:hAnsi="仿宋" w:eastAsia="仿宋" w:cs="仿宋"/>
          <w:sz w:val="32"/>
          <w:szCs w:val="32"/>
          <w:lang w:eastAsia="zh-CN"/>
        </w:rPr>
        <w:t>预算</w:t>
      </w:r>
      <w:r>
        <w:rPr>
          <w:rFonts w:hint="eastAsia" w:ascii="仿宋" w:hAnsi="仿宋" w:eastAsia="仿宋" w:cs="仿宋"/>
          <w:sz w:val="32"/>
          <w:szCs w:val="32"/>
        </w:rPr>
        <w:t>不足。由于</w:t>
      </w:r>
      <w:r>
        <w:rPr>
          <w:rFonts w:hint="eastAsia" w:ascii="仿宋" w:hAnsi="仿宋" w:eastAsia="仿宋" w:cs="仿宋"/>
          <w:sz w:val="32"/>
          <w:szCs w:val="32"/>
          <w:lang w:eastAsia="zh-CN"/>
        </w:rPr>
        <w:t>各个重大活动特别防护期的接访经费和驻京、驻长经费没有纳入年初预算，积案化解等</w:t>
      </w:r>
      <w:r>
        <w:rPr>
          <w:rFonts w:hint="eastAsia" w:ascii="仿宋" w:hAnsi="仿宋" w:eastAsia="仿宋"/>
          <w:bCs/>
          <w:kern w:val="2"/>
          <w:sz w:val="32"/>
          <w:szCs w:val="32"/>
        </w:rPr>
        <w:t>专项行动开支较大。</w:t>
      </w:r>
      <w:r>
        <w:rPr>
          <w:rFonts w:hint="eastAsia" w:ascii="仿宋" w:hAnsi="仿宋" w:eastAsia="仿宋"/>
          <w:bCs/>
          <w:kern w:val="2"/>
          <w:sz w:val="32"/>
          <w:szCs w:val="32"/>
          <w:lang w:eastAsia="zh-CN"/>
        </w:rPr>
        <w:t>又加上</w:t>
      </w:r>
      <w:r>
        <w:rPr>
          <w:rFonts w:hint="eastAsia" w:ascii="仿宋" w:hAnsi="仿宋" w:eastAsia="仿宋" w:cs="仿宋"/>
          <w:sz w:val="32"/>
          <w:szCs w:val="32"/>
          <w:lang w:eastAsia="zh-CN"/>
        </w:rPr>
        <w:t>重复访治理困难重重，一些缠访、闹访老户经常越级上访。</w:t>
      </w:r>
      <w:r>
        <w:rPr>
          <w:rFonts w:hint="eastAsia" w:ascii="仿宋" w:hAnsi="仿宋" w:eastAsia="仿宋"/>
          <w:bCs/>
          <w:kern w:val="2"/>
          <w:sz w:val="32"/>
          <w:szCs w:val="32"/>
        </w:rPr>
        <w:t>请求县政府增加</w:t>
      </w:r>
      <w:r>
        <w:rPr>
          <w:rFonts w:hint="eastAsia" w:ascii="仿宋" w:hAnsi="仿宋" w:eastAsia="仿宋"/>
          <w:bCs/>
          <w:kern w:val="2"/>
          <w:sz w:val="32"/>
          <w:szCs w:val="32"/>
          <w:lang w:eastAsia="zh-CN"/>
        </w:rPr>
        <w:t>信访维稳</w:t>
      </w:r>
      <w:r>
        <w:rPr>
          <w:rFonts w:hint="eastAsia" w:ascii="仿宋" w:hAnsi="仿宋" w:eastAsia="仿宋"/>
          <w:bCs/>
          <w:kern w:val="2"/>
          <w:sz w:val="32"/>
          <w:szCs w:val="32"/>
        </w:rPr>
        <w:t>工作经费，为全县</w:t>
      </w:r>
      <w:r>
        <w:rPr>
          <w:rFonts w:hint="eastAsia" w:ascii="仿宋" w:hAnsi="仿宋" w:eastAsia="仿宋"/>
          <w:bCs/>
          <w:kern w:val="2"/>
          <w:sz w:val="32"/>
          <w:szCs w:val="32"/>
          <w:lang w:eastAsia="zh-CN"/>
        </w:rPr>
        <w:t>社会稳定性提供</w:t>
      </w:r>
      <w:r>
        <w:rPr>
          <w:rFonts w:hint="eastAsia" w:ascii="仿宋" w:hAnsi="仿宋" w:eastAsia="仿宋"/>
          <w:bCs/>
          <w:kern w:val="2"/>
          <w:sz w:val="32"/>
          <w:szCs w:val="32"/>
        </w:rPr>
        <w:t>安全保障。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pPr>
        <w:pStyle w:val="7"/>
        <w:spacing w:before="0" w:beforeAutospacing="0" w:after="0" w:afterAutospacing="0"/>
        <w:ind w:firstLine="800" w:firstLineChars="250"/>
        <w:jc w:val="both"/>
        <w:rPr>
          <w:rStyle w:val="5"/>
          <w:rFonts w:ascii="仿宋" w:hAnsi="仿宋" w:eastAsia="仿宋"/>
          <w:b w:val="0"/>
          <w:sz w:val="32"/>
          <w:szCs w:val="32"/>
        </w:rPr>
      </w:pPr>
      <w:r>
        <w:rPr>
          <w:rStyle w:val="5"/>
          <w:rFonts w:hint="eastAsia" w:ascii="仿宋" w:hAnsi="仿宋" w:eastAsia="仿宋"/>
          <w:b w:val="0"/>
          <w:sz w:val="32"/>
          <w:szCs w:val="32"/>
          <w:lang w:val="en-US" w:eastAsia="zh-CN"/>
        </w:rPr>
        <w:t>1、</w:t>
      </w:r>
      <w:r>
        <w:rPr>
          <w:rStyle w:val="5"/>
          <w:rFonts w:hint="eastAsia" w:ascii="仿宋" w:hAnsi="仿宋" w:eastAsia="仿宋"/>
          <w:b w:val="0"/>
          <w:sz w:val="32"/>
          <w:szCs w:val="32"/>
        </w:rPr>
        <w:t>积极完善资产管理制度，</w:t>
      </w:r>
      <w:r>
        <w:rPr>
          <w:rStyle w:val="5"/>
          <w:rFonts w:hint="eastAsia" w:ascii="仿宋" w:hAnsi="仿宋" w:eastAsia="仿宋"/>
          <w:b w:val="0"/>
          <w:sz w:val="32"/>
          <w:szCs w:val="32"/>
          <w:lang w:eastAsia="zh-CN"/>
        </w:rPr>
        <w:t>确</w:t>
      </w:r>
      <w:r>
        <w:rPr>
          <w:rStyle w:val="5"/>
          <w:rFonts w:hint="eastAsia" w:ascii="仿宋" w:hAnsi="仿宋" w:eastAsia="仿宋"/>
          <w:b w:val="0"/>
          <w:sz w:val="32"/>
          <w:szCs w:val="32"/>
        </w:rPr>
        <w:t>保制度的合法、合规、完整性。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Style w:val="5"/>
          <w:rFonts w:hint="eastAsia" w:ascii="仿宋" w:hAnsi="仿宋" w:eastAsia="仿宋"/>
          <w:b w:val="0"/>
          <w:sz w:val="32"/>
          <w:szCs w:val="32"/>
          <w:lang w:val="en-US" w:eastAsia="zh-CN"/>
        </w:rPr>
        <w:t>2、</w:t>
      </w:r>
      <w:r>
        <w:rPr>
          <w:rStyle w:val="5"/>
          <w:rFonts w:hint="eastAsia" w:ascii="仿宋" w:hAnsi="仿宋" w:eastAsia="仿宋"/>
          <w:b w:val="0"/>
          <w:sz w:val="32"/>
          <w:szCs w:val="32"/>
        </w:rPr>
        <w:t>控制三公经费，严格</w:t>
      </w:r>
      <w:r>
        <w:rPr>
          <w:rStyle w:val="5"/>
          <w:rFonts w:hint="eastAsia" w:ascii="仿宋" w:hAnsi="仿宋" w:eastAsia="仿宋"/>
          <w:b w:val="0"/>
          <w:sz w:val="32"/>
          <w:szCs w:val="32"/>
          <w:lang w:eastAsia="zh-CN"/>
        </w:rPr>
        <w:t>按照标准对口接待、减少陪餐，</w:t>
      </w:r>
      <w:r>
        <w:rPr>
          <w:rStyle w:val="5"/>
          <w:rFonts w:hint="eastAsia" w:ascii="仿宋" w:hAnsi="仿宋" w:eastAsia="仿宋"/>
          <w:b w:val="0"/>
          <w:sz w:val="32"/>
          <w:szCs w:val="32"/>
        </w:rPr>
        <w:t>职工出差乘坐公共交通工具，减少公务</w:t>
      </w:r>
      <w:r>
        <w:rPr>
          <w:rStyle w:val="5"/>
          <w:rFonts w:hint="eastAsia" w:ascii="仿宋" w:hAnsi="仿宋" w:eastAsia="仿宋"/>
          <w:b w:val="0"/>
          <w:sz w:val="32"/>
          <w:szCs w:val="32"/>
          <w:lang w:eastAsia="zh-CN"/>
        </w:rPr>
        <w:t>租</w:t>
      </w:r>
      <w:r>
        <w:rPr>
          <w:rStyle w:val="5"/>
          <w:rFonts w:hint="eastAsia" w:ascii="仿宋" w:hAnsi="仿宋" w:eastAsia="仿宋"/>
          <w:b w:val="0"/>
          <w:sz w:val="32"/>
          <w:szCs w:val="32"/>
        </w:rPr>
        <w:t>车开支。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九、其他需要说明的情况</w:t>
      </w:r>
    </w:p>
    <w:p>
      <w:pPr>
        <w:pStyle w:val="7"/>
        <w:spacing w:before="0" w:beforeAutospacing="0" w:after="0" w:afterAutospacing="0"/>
        <w:ind w:firstLine="640" w:firstLineChars="200"/>
        <w:jc w:val="both"/>
        <w:rPr>
          <w:rStyle w:val="5"/>
          <w:rFonts w:ascii="仿宋" w:hAnsi="仿宋" w:eastAsia="仿宋"/>
          <w:b w:val="0"/>
          <w:sz w:val="32"/>
          <w:szCs w:val="32"/>
        </w:rPr>
      </w:pPr>
      <w:r>
        <w:rPr>
          <w:rStyle w:val="5"/>
          <w:rFonts w:hint="eastAsia" w:ascii="仿宋" w:hAnsi="仿宋" w:eastAsia="仿宋"/>
          <w:b w:val="0"/>
          <w:sz w:val="32"/>
          <w:szCs w:val="32"/>
        </w:rPr>
        <w:t>1、202</w:t>
      </w:r>
      <w:r>
        <w:rPr>
          <w:rStyle w:val="5"/>
          <w:rFonts w:hint="eastAsia" w:ascii="仿宋" w:hAnsi="仿宋" w:eastAsia="仿宋"/>
          <w:b w:val="0"/>
          <w:sz w:val="32"/>
          <w:szCs w:val="32"/>
          <w:lang w:val="en-US" w:eastAsia="zh-CN"/>
        </w:rPr>
        <w:t>4</w:t>
      </w:r>
      <w:r>
        <w:rPr>
          <w:rStyle w:val="5"/>
          <w:rFonts w:hint="eastAsia" w:ascii="仿宋" w:hAnsi="仿宋" w:eastAsia="仿宋"/>
          <w:b w:val="0"/>
          <w:sz w:val="32"/>
          <w:szCs w:val="32"/>
        </w:rPr>
        <w:t>年</w:t>
      </w:r>
      <w:r>
        <w:rPr>
          <w:rStyle w:val="5"/>
          <w:rFonts w:hint="eastAsia" w:ascii="仿宋" w:hAnsi="仿宋" w:eastAsia="仿宋"/>
          <w:b w:val="0"/>
          <w:sz w:val="32"/>
          <w:szCs w:val="32"/>
          <w:lang w:eastAsia="zh-CN"/>
        </w:rPr>
        <w:t>完善了</w:t>
      </w:r>
      <w:r>
        <w:rPr>
          <w:rStyle w:val="5"/>
          <w:rFonts w:hint="eastAsia" w:ascii="仿宋" w:hAnsi="仿宋" w:eastAsia="仿宋"/>
          <w:b w:val="0"/>
          <w:sz w:val="32"/>
          <w:szCs w:val="32"/>
        </w:rPr>
        <w:t>《城步苗族自治县</w:t>
      </w:r>
      <w:r>
        <w:rPr>
          <w:rStyle w:val="5"/>
          <w:rFonts w:hint="eastAsia" w:ascii="仿宋" w:hAnsi="仿宋" w:eastAsia="仿宋"/>
          <w:b w:val="0"/>
          <w:sz w:val="32"/>
          <w:szCs w:val="32"/>
          <w:lang w:eastAsia="zh-CN"/>
        </w:rPr>
        <w:t>信访局</w:t>
      </w:r>
      <w:r>
        <w:rPr>
          <w:rStyle w:val="5"/>
          <w:rFonts w:hint="eastAsia" w:ascii="仿宋" w:hAnsi="仿宋" w:eastAsia="仿宋"/>
          <w:b w:val="0"/>
          <w:sz w:val="32"/>
          <w:szCs w:val="32"/>
        </w:rPr>
        <w:t>财务管理制度》，</w:t>
      </w:r>
      <w:r>
        <w:rPr>
          <w:rStyle w:val="5"/>
          <w:rFonts w:hint="eastAsia" w:ascii="仿宋" w:hAnsi="仿宋" w:eastAsia="仿宋"/>
          <w:b w:val="0"/>
          <w:sz w:val="32"/>
          <w:szCs w:val="32"/>
          <w:lang w:eastAsia="zh-CN"/>
        </w:rPr>
        <w:t>重大开支会审制度</w:t>
      </w:r>
      <w:r>
        <w:rPr>
          <w:rStyle w:val="5"/>
          <w:rFonts w:hint="eastAsia" w:ascii="仿宋" w:hAnsi="仿宋" w:eastAsia="仿宋"/>
          <w:b w:val="0"/>
          <w:sz w:val="32"/>
          <w:szCs w:val="32"/>
        </w:rPr>
        <w:t>。</w:t>
      </w:r>
    </w:p>
    <w:p>
      <w:pPr>
        <w:pStyle w:val="7"/>
        <w:spacing w:before="0" w:beforeAutospacing="0" w:after="0" w:afterAutospacing="0"/>
        <w:ind w:firstLine="640" w:firstLineChars="200"/>
        <w:jc w:val="both"/>
        <w:rPr>
          <w:rStyle w:val="5"/>
          <w:rFonts w:ascii="仿宋" w:hAnsi="仿宋" w:eastAsia="仿宋"/>
          <w:b w:val="0"/>
          <w:sz w:val="32"/>
          <w:szCs w:val="32"/>
        </w:rPr>
      </w:pPr>
      <w:r>
        <w:rPr>
          <w:rStyle w:val="5"/>
          <w:rFonts w:hint="eastAsia" w:ascii="仿宋" w:hAnsi="仿宋" w:eastAsia="仿宋"/>
          <w:b w:val="0"/>
          <w:sz w:val="32"/>
          <w:szCs w:val="32"/>
        </w:rPr>
        <w:t>2、在资金使用上一直</w:t>
      </w:r>
      <w:r>
        <w:rPr>
          <w:rStyle w:val="5"/>
          <w:rFonts w:hint="eastAsia" w:ascii="仿宋" w:hAnsi="仿宋" w:eastAsia="仿宋"/>
          <w:b w:val="0"/>
          <w:sz w:val="32"/>
          <w:szCs w:val="32"/>
          <w:lang w:eastAsia="zh-CN"/>
        </w:rPr>
        <w:t>执行</w:t>
      </w:r>
      <w:r>
        <w:rPr>
          <w:rStyle w:val="5"/>
          <w:rFonts w:hint="eastAsia" w:ascii="仿宋" w:hAnsi="仿宋" w:eastAsia="仿宋"/>
          <w:b w:val="0"/>
          <w:sz w:val="32"/>
          <w:szCs w:val="32"/>
        </w:rPr>
        <w:t>国家财经法规和县财务管理制度规</w:t>
      </w:r>
      <w:r>
        <w:rPr>
          <w:rStyle w:val="5"/>
          <w:rFonts w:hint="eastAsia" w:ascii="仿宋" w:hAnsi="仿宋" w:eastAsia="仿宋"/>
          <w:b w:val="0"/>
          <w:sz w:val="32"/>
          <w:szCs w:val="32"/>
          <w:lang w:eastAsia="zh-CN"/>
        </w:rPr>
        <w:t>定</w:t>
      </w:r>
      <w:r>
        <w:rPr>
          <w:rStyle w:val="5"/>
          <w:rFonts w:hint="eastAsia" w:ascii="仿宋" w:hAnsi="仿宋" w:eastAsia="仿宋"/>
          <w:b w:val="0"/>
          <w:sz w:val="32"/>
          <w:szCs w:val="32"/>
        </w:rPr>
        <w:t>，所有经费的开支严格按照</w:t>
      </w:r>
      <w:r>
        <w:rPr>
          <w:rStyle w:val="5"/>
          <w:rFonts w:hint="eastAsia" w:ascii="仿宋" w:hAnsi="仿宋" w:eastAsia="仿宋"/>
          <w:b w:val="0"/>
          <w:sz w:val="32"/>
          <w:szCs w:val="32"/>
          <w:lang w:eastAsia="zh-CN"/>
        </w:rPr>
        <w:t>单位</w:t>
      </w:r>
      <w:r>
        <w:rPr>
          <w:rStyle w:val="5"/>
          <w:rFonts w:hint="eastAsia" w:ascii="仿宋" w:hAnsi="仿宋" w:eastAsia="仿宋"/>
          <w:b w:val="0"/>
          <w:sz w:val="32"/>
          <w:szCs w:val="32"/>
        </w:rPr>
        <w:t>制订的财务制度和管理办法执行。</w:t>
      </w:r>
    </w:p>
    <w:p>
      <w:pPr>
        <w:pStyle w:val="7"/>
        <w:spacing w:before="0" w:beforeAutospacing="0" w:after="0" w:afterAutospacing="0"/>
        <w:ind w:firstLine="640"/>
        <w:jc w:val="both"/>
        <w:rPr>
          <w:rStyle w:val="5"/>
          <w:rFonts w:ascii="仿宋" w:hAnsi="仿宋" w:eastAsia="仿宋"/>
          <w:b w:val="0"/>
          <w:sz w:val="32"/>
          <w:szCs w:val="32"/>
        </w:rPr>
      </w:pPr>
      <w:r>
        <w:rPr>
          <w:rStyle w:val="5"/>
          <w:rFonts w:hint="eastAsia" w:ascii="仿宋" w:hAnsi="仿宋" w:eastAsia="仿宋"/>
          <w:b w:val="0"/>
          <w:sz w:val="32"/>
          <w:szCs w:val="32"/>
        </w:rPr>
        <w:t>3、实行财务会审制度和公开制度，财务会审小组对经费开支的原始票据进行审核，</w:t>
      </w:r>
      <w:r>
        <w:rPr>
          <w:rStyle w:val="5"/>
          <w:rFonts w:hint="eastAsia" w:ascii="仿宋" w:hAnsi="仿宋" w:eastAsia="仿宋"/>
          <w:b w:val="0"/>
          <w:sz w:val="32"/>
          <w:szCs w:val="32"/>
          <w:lang w:eastAsia="zh-CN"/>
        </w:rPr>
        <w:t>重大开支邀请纪委派驻组会审后</w:t>
      </w:r>
      <w:r>
        <w:rPr>
          <w:rStyle w:val="5"/>
          <w:rFonts w:hint="eastAsia" w:ascii="仿宋" w:hAnsi="仿宋" w:eastAsia="仿宋"/>
          <w:b w:val="0"/>
          <w:sz w:val="32"/>
          <w:szCs w:val="32"/>
        </w:rPr>
        <w:t>加盖财务会审公章才能支付。</w:t>
      </w:r>
    </w:p>
    <w:p>
      <w:pPr>
        <w:pStyle w:val="7"/>
        <w:spacing w:before="0" w:beforeAutospacing="0" w:after="0" w:afterAutospacing="0"/>
        <w:ind w:firstLine="640" w:firstLineChars="200"/>
        <w:jc w:val="both"/>
        <w:rPr>
          <w:rStyle w:val="5"/>
          <w:rFonts w:ascii="仿宋" w:hAnsi="仿宋" w:eastAsia="仿宋"/>
          <w:b w:val="0"/>
          <w:bCs w:val="0"/>
          <w:sz w:val="32"/>
          <w:szCs w:val="32"/>
        </w:rPr>
      </w:pPr>
      <w:r>
        <w:rPr>
          <w:rStyle w:val="5"/>
          <w:rFonts w:hint="eastAsia" w:ascii="仿宋" w:hAnsi="仿宋" w:eastAsia="仿宋"/>
          <w:b w:val="0"/>
          <w:sz w:val="32"/>
          <w:szCs w:val="32"/>
        </w:rPr>
        <w:t>202</w:t>
      </w:r>
      <w:r>
        <w:rPr>
          <w:rStyle w:val="5"/>
          <w:rFonts w:hint="eastAsia" w:ascii="仿宋" w:hAnsi="仿宋" w:eastAsia="仿宋"/>
          <w:b w:val="0"/>
          <w:sz w:val="32"/>
          <w:szCs w:val="32"/>
          <w:lang w:val="en-US" w:eastAsia="zh-CN"/>
        </w:rPr>
        <w:t>4</w:t>
      </w:r>
      <w:r>
        <w:rPr>
          <w:rStyle w:val="5"/>
          <w:rFonts w:hint="eastAsia" w:ascii="仿宋" w:hAnsi="仿宋" w:eastAsia="仿宋"/>
          <w:b w:val="0"/>
          <w:sz w:val="32"/>
          <w:szCs w:val="32"/>
        </w:rPr>
        <w:t>年年初编制的“三公经费”预算数为</w:t>
      </w:r>
      <w:r>
        <w:rPr>
          <w:rStyle w:val="5"/>
          <w:rFonts w:hint="eastAsia" w:ascii="仿宋" w:hAnsi="仿宋" w:eastAsia="仿宋"/>
          <w:b w:val="0"/>
          <w:sz w:val="32"/>
          <w:szCs w:val="32"/>
          <w:lang w:val="en-US" w:eastAsia="zh-CN"/>
        </w:rPr>
        <w:t>0.9</w:t>
      </w:r>
      <w:r>
        <w:rPr>
          <w:rStyle w:val="5"/>
          <w:rFonts w:hint="eastAsia" w:ascii="仿宋" w:hAnsi="仿宋" w:eastAsia="仿宋"/>
          <w:b w:val="0"/>
          <w:sz w:val="32"/>
          <w:szCs w:val="32"/>
        </w:rPr>
        <w:t>万元，其中公务接待</w:t>
      </w:r>
      <w:r>
        <w:rPr>
          <w:rStyle w:val="5"/>
          <w:rFonts w:hint="eastAsia" w:ascii="仿宋" w:hAnsi="仿宋" w:eastAsia="仿宋"/>
          <w:b w:val="0"/>
          <w:sz w:val="32"/>
          <w:szCs w:val="32"/>
          <w:lang w:val="en-US" w:eastAsia="zh-CN"/>
        </w:rPr>
        <w:t>0.9</w:t>
      </w:r>
      <w:r>
        <w:rPr>
          <w:rStyle w:val="5"/>
          <w:rFonts w:hint="eastAsia" w:ascii="仿宋" w:hAnsi="仿宋" w:eastAsia="仿宋"/>
          <w:b w:val="0"/>
          <w:sz w:val="32"/>
          <w:szCs w:val="32"/>
        </w:rPr>
        <w:t>万元。</w:t>
      </w:r>
      <w:r>
        <w:rPr>
          <w:rFonts w:hint="eastAsia" w:ascii="仿宋" w:hAnsi="仿宋" w:eastAsia="仿宋"/>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eastAsia="黑体" w:cs="Times New Roman"/>
          <w:sz w:val="32"/>
          <w:szCs w:val="32"/>
          <w:lang w:eastAsia="zh-CN"/>
        </w:rPr>
      </w:pPr>
      <w:r>
        <w:rPr>
          <w:rStyle w:val="5"/>
          <w:rFonts w:hint="eastAsia" w:ascii="仿宋" w:hAnsi="仿宋" w:eastAsia="仿宋"/>
          <w:b w:val="0"/>
          <w:sz w:val="32"/>
          <w:szCs w:val="32"/>
        </w:rPr>
        <w:t>资产管理：资产保存完整、配置合理、帐实相符，利用率100%。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299D4"/>
    <w:multiLevelType w:val="singleLevel"/>
    <w:tmpl w:val="DF7299D4"/>
    <w:lvl w:ilvl="0" w:tentative="0">
      <w:start w:val="3"/>
      <w:numFmt w:val="chineseCounting"/>
      <w:suff w:val="nothing"/>
      <w:lvlText w:val="（%1）"/>
      <w:lvlJc w:val="left"/>
      <w:rPr>
        <w:rFonts w:hint="eastAsia"/>
      </w:rPr>
    </w:lvl>
  </w:abstractNum>
  <w:abstractNum w:abstractNumId="1">
    <w:nsid w:val="0EAAD0C8"/>
    <w:multiLevelType w:val="singleLevel"/>
    <w:tmpl w:val="0EAAD0C8"/>
    <w:lvl w:ilvl="0" w:tentative="0">
      <w:start w:val="2"/>
      <w:numFmt w:val="chineseCounting"/>
      <w:suff w:val="nothing"/>
      <w:lvlText w:val="（%1）"/>
      <w:lvlJc w:val="left"/>
      <w:rPr>
        <w:rFonts w:hint="eastAsia"/>
      </w:rPr>
    </w:lvl>
  </w:abstractNum>
  <w:abstractNum w:abstractNumId="2">
    <w:nsid w:val="312060B7"/>
    <w:multiLevelType w:val="singleLevel"/>
    <w:tmpl w:val="312060B7"/>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1AFF25FF"/>
    <w:rsid w:val="1EA33F65"/>
    <w:rsid w:val="269E5DD8"/>
    <w:rsid w:val="32636C88"/>
    <w:rsid w:val="4B72396B"/>
    <w:rsid w:val="5FBBC177"/>
    <w:rsid w:val="5FFDAE68"/>
    <w:rsid w:val="6AFFA919"/>
    <w:rsid w:val="6EDB0AA5"/>
    <w:rsid w:val="7D2AA6BE"/>
    <w:rsid w:val="7EF9F3D2"/>
    <w:rsid w:val="7FFC02BC"/>
    <w:rsid w:val="BFEDC701"/>
    <w:rsid w:val="E77E4804"/>
    <w:rsid w:val="EDDDEDFD"/>
    <w:rsid w:val="F16FE7B7"/>
    <w:rsid w:val="F3760452"/>
    <w:rsid w:val="F7FF5942"/>
    <w:rsid w:val="FBB61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bCs/>
    </w:rPr>
  </w:style>
  <w:style w:type="paragraph" w:customStyle="1" w:styleId="6">
    <w:name w:val="List Paragraph"/>
    <w:basedOn w:val="1"/>
    <w:qFormat/>
    <w:uiPriority w:val="99"/>
    <w:pPr>
      <w:ind w:firstLine="420" w:firstLineChars="200"/>
    </w:pPr>
    <w:rPr>
      <w:rFonts w:ascii="Times New Roman" w:hAnsi="Times New Roman"/>
      <w:szCs w:val="24"/>
    </w:rPr>
  </w:style>
  <w:style w:type="paragraph" w:customStyle="1" w:styleId="7">
    <w:name w:val="p0"/>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826</Words>
  <Characters>875</Characters>
  <Lines>0</Lines>
  <Paragraphs>0</Paragraphs>
  <TotalTime>23</TotalTime>
  <ScaleCrop>false</ScaleCrop>
  <LinksUpToDate>false</LinksUpToDate>
  <CharactersWithSpaces>883</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2021-09-19T15:11:00Z</dcterms:created>
  <dc:creator>Administrator</dc:creator>
  <cp:lastModifiedBy>QHTF</cp:lastModifiedBy>
  <cp:lastPrinted>2025-04-17T17:25:00Z</cp:lastPrinted>
  <dcterms:modified xsi:type="dcterms:W3CDTF">2025-04-17T09:40:55Z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D73F13E1B957B1331375F867E50C31E5</vt:lpwstr>
  </property>
  <property fmtid="{D5CDD505-2E9C-101B-9397-08002B2CF9AE}" pid="4" name="KSOTemplateDocerSaveRecord">
    <vt:lpwstr>eyJoZGlkIjoiOGZlN2VhOWE2NmZiZDIyN2NjOGI4YzNlMzc2NmE1NWQifQ==</vt:lpwstr>
  </property>
</Properties>
</file>