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2020年公开重大政策和重点项目绩效执行结果情况说明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2020年度，我县</w:t>
      </w:r>
      <w:r>
        <w:rPr>
          <w:rFonts w:ascii="仿宋_GB2312" w:hAnsi="仿宋_GB2312" w:eastAsia="仿宋_GB2312" w:cs="仿宋_GB2312"/>
          <w:sz w:val="32"/>
          <w:szCs w:val="32"/>
        </w:rPr>
        <w:t>认真贯彻落实党中央、国务院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关于全面实施预算绩效管理</w:t>
      </w:r>
      <w:r>
        <w:rPr>
          <w:rFonts w:ascii="仿宋_GB2312" w:hAnsi="仿宋_GB2312" w:eastAsia="仿宋_GB2312" w:cs="仿宋_GB2312"/>
          <w:sz w:val="32"/>
          <w:szCs w:val="32"/>
        </w:rPr>
        <w:t>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树牢“花钱必问效、无效必问责”的理念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在开展部门自评的基础上，按照“资金量大、代表性强、社会关注度高”的原则，我们</w:t>
      </w:r>
      <w:r>
        <w:rPr>
          <w:rFonts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政府重大决策部署，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选取了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大类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项目进行重点评价，资金额达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元，涵盖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旅游产业发展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公路建设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生态环境建设</w:t>
      </w:r>
      <w:r>
        <w:rPr>
          <w:rFonts w:ascii="仿宋_GB2312" w:hAnsi="仿宋_GB2312" w:eastAsia="仿宋_GB2312" w:cs="仿宋_GB2312"/>
          <w:sz w:val="32"/>
          <w:szCs w:val="32"/>
        </w:rPr>
        <w:t>等重点领域。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（一）2020年度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旅游产业引导资金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项目绩效执行结果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为促进城步生态文化旅游产业发展，推动城步经济发展方式转变，推动区域旅游资源开发，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2020年文旅广体局共支出198万元用于环大南山精品线路旅游基础设施建设项目。资金全部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按照规定支持方向支出，与申报计划规定的范围一致，资金全部足额拨付到位，</w:t>
      </w:r>
      <w:r>
        <w:rPr>
          <w:rFonts w:hint="eastAsia" w:ascii="仿宋_GB2312" w:eastAsia="仿宋_GB2312"/>
          <w:sz w:val="32"/>
          <w:szCs w:val="32"/>
          <w:lang w:eastAsia="zh-CN"/>
        </w:rPr>
        <w:t>且在规定期间内完成了此项目，群众满意度为百分之百。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（二）2020年度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园区工业发展资金项目绩效执行结果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2020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为落实产业帮扶政策，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eastAsia="zh-CN"/>
        </w:rPr>
        <w:t>工业集中区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通过委托帮扶与建档立卡贫困户1665户，5639人签订产业委托帮扶协议。同时为委托帮扶贫困户分红资金560万元，为楠竹产业发展，做到合理开发，永续利用。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eastAsia="zh-CN"/>
        </w:rPr>
        <w:t>实现引进工业企业项目3家，新投产工业项目1个，完成园区配套设施项目</w:t>
      </w: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2个的年初绩效目标。资金共到位670万元，支出670万元。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（三）2020年度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科技</w:t>
      </w:r>
      <w:r>
        <w:rPr>
          <w:rFonts w:hint="eastAsia" w:ascii="仿宋" w:hAnsi="仿宋" w:eastAsia="仿宋" w:cs="仿宋"/>
          <w:sz w:val="32"/>
          <w:szCs w:val="32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资金绩效执行结果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2020年，为促进县奶业发展，科技振兴，畜牧局和科协共支出512万元，分别用于奶业发展，科技三项费60万， 奶牛良种冻精等。进一步提高了奶牛保险标准，对全县成年母奶牛按每头400元保额10000元的标准进行投保，连续三年按每公斤0.3元实行鲜奶收购补贴。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）2020年度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公路建设县级配套资金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</w:t>
      </w:r>
      <w:r>
        <w:rPr>
          <w:rFonts w:eastAsia="仿宋_GB2312"/>
          <w:sz w:val="32"/>
          <w:szCs w:val="32"/>
        </w:rPr>
        <w:t>专项资金全部用于</w:t>
      </w:r>
      <w:r>
        <w:rPr>
          <w:rFonts w:hint="eastAsia" w:eastAsia="仿宋_GB2312"/>
          <w:sz w:val="32"/>
          <w:szCs w:val="32"/>
        </w:rPr>
        <w:t>国省干线日常养护、公路清灌缝、应急养护</w:t>
      </w:r>
      <w:r>
        <w:rPr>
          <w:rFonts w:hint="eastAsia" w:eastAsia="仿宋_GB2312"/>
          <w:sz w:val="32"/>
          <w:szCs w:val="32"/>
          <w:lang w:eastAsia="zh-CN"/>
        </w:rPr>
        <w:t>、公路水毁修复</w:t>
      </w:r>
      <w:r>
        <w:rPr>
          <w:rFonts w:hint="eastAsia" w:eastAsia="仿宋_GB2312"/>
          <w:sz w:val="32"/>
          <w:szCs w:val="32"/>
        </w:rPr>
        <w:t>等工程开支，总投入经费</w:t>
      </w:r>
      <w:r>
        <w:rPr>
          <w:rFonts w:hint="eastAsia" w:eastAsia="仿宋_GB2312"/>
          <w:sz w:val="32"/>
          <w:szCs w:val="32"/>
          <w:lang w:val="en-US" w:eastAsia="zh-CN"/>
        </w:rPr>
        <w:t>1108</w:t>
      </w:r>
      <w:r>
        <w:rPr>
          <w:rFonts w:hint="eastAsia" w:eastAsia="仿宋_GB2312"/>
          <w:sz w:val="32"/>
          <w:szCs w:val="32"/>
        </w:rPr>
        <w:t>万</w:t>
      </w:r>
      <w:r>
        <w:rPr>
          <w:rFonts w:hint="eastAsia" w:eastAsia="仿宋_GB2312"/>
          <w:sz w:val="32"/>
          <w:szCs w:val="32"/>
          <w:lang w:eastAsia="zh-CN"/>
        </w:rPr>
        <w:t>元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项目已全部完工，并组织相关人员现场验收，工程验收合格率100%。各个项目的建成，社会效益显著，有利于繁荣地方经济，有利于扩大就业，提供社会综合事业的发展，有利于提供周边人民的收入，改善人民的生活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）2020年度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生态建设资金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保护地下水源和大气，佑护周边生态环境，2020年预算下达污水处理费1245万元，垃圾无害化运营费400万元，垃圾清扫清运和环卫经费1413万元，小水电站清理整改退出2000万元，其他生态支出1233万元，合计6291万元，利用率100%。实现日处理垃圾量140吨，县城环境卫生整治工作全面铺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）2020年度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农业综合开发资金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为促进农业生产产能不断提高，粮食产能持续增产增收，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农水局共支出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234万元。实现了水圳维修1100米，河堤修建580米，山塘维修1口，河坝维修1座。新增灌溉面积22亩，恢复农田灌溉面积165亩，新增节水能力15万m3/年。项目覆盖3个贫困村，受益建档立卡人数173人，受益建档立卡户数56户，群众满意率100%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）2020年度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城市建设资金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绩效执行结果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2020年，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住建局将城市建设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专项资金用于人防专业队伍训练、人防宣传业务、人防工程维护管理、人防警报系统维护运行；奖励修建好民族风格特色建筑的户主，促进保持民族传统和地方特色，便于发展旅游事业；通过完成多方面规划编制项目，为全市的城市建设及经济社会发展提供有力的规划支撑及服务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zk3MDk0MzVkYmQ0NWI4MjVmYTUxZTE0NzU0NzUifQ=="/>
  </w:docVars>
  <w:rsids>
    <w:rsidRoot w:val="007304E1"/>
    <w:rsid w:val="00075C02"/>
    <w:rsid w:val="007304E1"/>
    <w:rsid w:val="00857D65"/>
    <w:rsid w:val="008E13B7"/>
    <w:rsid w:val="00B915A0"/>
    <w:rsid w:val="00D90649"/>
    <w:rsid w:val="0B5A630E"/>
    <w:rsid w:val="0BE32EE2"/>
    <w:rsid w:val="0CCE13D9"/>
    <w:rsid w:val="0E1C4B03"/>
    <w:rsid w:val="10777BA6"/>
    <w:rsid w:val="132E750E"/>
    <w:rsid w:val="1E81527C"/>
    <w:rsid w:val="1EA035A0"/>
    <w:rsid w:val="21AC2CCE"/>
    <w:rsid w:val="25E40FB4"/>
    <w:rsid w:val="267C04CE"/>
    <w:rsid w:val="27112D99"/>
    <w:rsid w:val="2913507B"/>
    <w:rsid w:val="29B33860"/>
    <w:rsid w:val="2AFB72D9"/>
    <w:rsid w:val="4E716C16"/>
    <w:rsid w:val="50A83E77"/>
    <w:rsid w:val="5B411CCC"/>
    <w:rsid w:val="61125A27"/>
    <w:rsid w:val="632329D3"/>
    <w:rsid w:val="68A52C54"/>
    <w:rsid w:val="6D6B7B64"/>
    <w:rsid w:val="6FA50A9A"/>
    <w:rsid w:val="76A2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qFormat/>
    <w:uiPriority w:val="0"/>
    <w:pPr>
      <w:widowControl w:val="0"/>
      <w:tabs>
        <w:tab w:val="left" w:pos="630"/>
      </w:tabs>
      <w:ind w:left="420" w:leftChars="200" w:firstLine="420"/>
      <w:jc w:val="both"/>
    </w:pPr>
    <w:rPr>
      <w:rFonts w:hint="eastAsia" w:ascii="Times New Roman" w:hAnsi="Times New Roman" w:eastAsia="宋体" w:cs="Times New Roman"/>
      <w:kern w:val="2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889</Words>
  <Characters>964</Characters>
  <Lines>9</Lines>
  <Paragraphs>2</Paragraphs>
  <TotalTime>1</TotalTime>
  <ScaleCrop>false</ScaleCrop>
  <LinksUpToDate>false</LinksUpToDate>
  <CharactersWithSpaces>964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2022-08-26T01:02:00Z</dcterms:created>
  <dc:creator>Administrator</dc:creator>
  <cp:lastModifiedBy>安。。然。</cp:lastModifiedBy>
  <dcterms:modified xsi:type="dcterms:W3CDTF">2022-08-29T08:05:30Z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8815A4AD82BE4AE4A1D4710477D24A59</vt:lpwstr>
  </property>
</Properties>
</file>