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600" w:lineRule="exact"/>
        <w:ind w:right="0" w:firstLine="0"/>
        <w:jc w:val="center"/>
        <w:rPr>
          <w:rFonts w:hint="default" w:ascii="方正小标宋_GBK" w:hAnsi="Times New Roman" w:eastAsia="Times New Roman"/>
          <w:color w:val="auto"/>
          <w:position w:val="0"/>
          <w:sz w:val="36"/>
          <w:szCs w:val="36"/>
        </w:rPr>
      </w:pPr>
      <w:r>
        <w:rPr>
          <w:rFonts w:hint="default" w:ascii="黑体" w:hAnsi="黑体" w:eastAsia="黑体"/>
          <w:color w:val="auto"/>
          <w:position w:val="0"/>
          <w:sz w:val="32"/>
          <w:szCs w:val="32"/>
        </w:rPr>
        <w:t>2017年度隆回县司法局</w:t>
      </w:r>
      <w:r>
        <w:rPr>
          <w:rFonts w:hint="default" w:ascii="方正小标宋_GBK" w:hAnsi="方正小标宋_GBK" w:eastAsia="方正小标宋_GBK"/>
          <w:color w:val="auto"/>
          <w:position w:val="0"/>
          <w:sz w:val="36"/>
          <w:szCs w:val="36"/>
        </w:rPr>
        <w:t>部门整体支出绩效自评基础数据表</w:t>
      </w:r>
    </w:p>
    <w:tbl>
      <w:tblPr>
        <w:tblStyle w:val="24"/>
        <w:tblW w:w="943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93"/>
        <w:gridCol w:w="494"/>
        <w:gridCol w:w="1069"/>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431" w:type="dxa"/>
            <w:gridSpan w:val="13"/>
            <w:tcBorders>
              <w:top w:val="nil"/>
              <w:left w:val="nil"/>
              <w:bottom w:val="nil"/>
              <w:right w:val="nil"/>
            </w:tcBorders>
            <w:vAlign w:val="center"/>
          </w:tcPr>
          <w:p>
            <w:pPr>
              <w:numPr>
                <w:ilvl w:val="0"/>
                <w:numId w:val="0"/>
              </w:numPr>
              <w:autoSpaceDE/>
              <w:autoSpaceDN/>
              <w:spacing w:before="0" w:after="0" w:line="600" w:lineRule="exact"/>
              <w:ind w:right="0" w:firstLine="0"/>
              <w:jc w:val="center"/>
              <w:rPr>
                <w:rFonts w:hint="default" w:ascii="黑体" w:hAnsi="黑体" w:eastAsia="黑体"/>
                <w:color w:val="auto"/>
                <w:position w:val="0"/>
                <w:sz w:val="21"/>
                <w:szCs w:val="21"/>
              </w:rPr>
            </w:pPr>
            <w:r>
              <w:rPr>
                <w:rFonts w:hint="default" w:ascii="黑体" w:hAnsi="黑体" w:eastAsia="黑体"/>
                <w:color w:val="auto"/>
                <w:position w:val="0"/>
                <w:sz w:val="21"/>
                <w:szCs w:val="21"/>
              </w:rPr>
              <w:t>（2017年度）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vAlign w:val="center"/>
          </w:tcPr>
          <w:p>
            <w:pPr>
              <w:numPr>
                <w:ilvl w:val="0"/>
                <w:numId w:val="0"/>
              </w:numPr>
              <w:autoSpaceDE/>
              <w:autoSpaceDN/>
              <w:spacing w:before="0" w:after="0" w:line="560" w:lineRule="exac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基本情况</w:t>
            </w:r>
          </w:p>
        </w:tc>
        <w:tc>
          <w:tcPr>
            <w:tcW w:w="1168" w:type="dxa"/>
            <w:vAlign w:val="center"/>
          </w:tcPr>
          <w:p>
            <w:pPr>
              <w:numPr>
                <w:ilvl w:val="0"/>
                <w:numId w:val="0"/>
              </w:numPr>
              <w:autoSpaceDE/>
              <w:autoSpaceDN/>
              <w:spacing w:before="0" w:after="0" w:line="240" w:lineRule="auto"/>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单位名称（盖章）</w:t>
            </w:r>
          </w:p>
        </w:tc>
        <w:tc>
          <w:tcPr>
            <w:tcW w:w="7659" w:type="dxa"/>
            <w:gridSpan w:val="9"/>
            <w:vAlign w:val="top"/>
          </w:tcPr>
          <w:p>
            <w:pPr>
              <w:numPr>
                <w:ilvl w:val="0"/>
                <w:numId w:val="0"/>
              </w:numPr>
              <w:autoSpaceDE/>
              <w:autoSpaceDN/>
              <w:spacing w:before="0" w:after="0" w:line="540" w:lineRule="exact"/>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隆回县司法局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tc>
        <w:tc>
          <w:tcPr>
            <w:tcW w:w="1168" w:type="dxa"/>
            <w:vAlign w:val="center"/>
          </w:tcPr>
          <w:p>
            <w:pPr>
              <w:numPr>
                <w:ilvl w:val="0"/>
                <w:numId w:val="0"/>
              </w:numPr>
              <w:autoSpaceDE/>
              <w:autoSpaceDN/>
              <w:spacing w:before="0" w:after="0" w:line="240" w:lineRule="auto"/>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编制人数</w:t>
            </w:r>
          </w:p>
        </w:tc>
        <w:tc>
          <w:tcPr>
            <w:tcW w:w="2977"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113</w:t>
            </w:r>
          </w:p>
        </w:tc>
        <w:tc>
          <w:tcPr>
            <w:tcW w:w="1559" w:type="dxa"/>
            <w:gridSpan w:val="2"/>
            <w:vAlign w:val="center"/>
          </w:tcPr>
          <w:p>
            <w:pPr>
              <w:numPr>
                <w:ilvl w:val="0"/>
                <w:numId w:val="0"/>
              </w:numPr>
              <w:autoSpaceDE/>
              <w:autoSpaceDN/>
              <w:spacing w:before="0" w:after="0" w:line="240" w:lineRule="auto"/>
              <w:ind w:left="0" w:leftChars="0" w:right="0" w:rightChars="0" w:firstLine="0" w:firstLineChars="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实有人数</w:t>
            </w:r>
          </w:p>
        </w:tc>
        <w:tc>
          <w:tcPr>
            <w:tcW w:w="3123" w:type="dxa"/>
            <w:gridSpan w:val="5"/>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3454" w:hRule="exact"/>
        </w:trPr>
        <w:tc>
          <w:tcPr>
            <w:tcW w:w="533" w:type="dxa"/>
            <w:vMerge w:val="continue"/>
            <w:vAlign w:val="center"/>
          </w:tcPr>
          <w:p/>
        </w:tc>
        <w:tc>
          <w:tcPr>
            <w:tcW w:w="1168" w:type="dxa"/>
            <w:vAlign w:val="center"/>
          </w:tcPr>
          <w:p>
            <w:pPr>
              <w:numPr>
                <w:ilvl w:val="0"/>
                <w:numId w:val="0"/>
              </w:numPr>
              <w:autoSpaceDE/>
              <w:autoSpaceDN/>
              <w:spacing w:before="0" w:after="0" w:line="240" w:lineRule="auto"/>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部门职能概述</w:t>
            </w:r>
          </w:p>
        </w:tc>
        <w:tc>
          <w:tcPr>
            <w:tcW w:w="7659" w:type="dxa"/>
            <w:gridSpan w:val="9"/>
            <w:vAlign w:val="top"/>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eastAsia" w:asciiTheme="minorEastAsia" w:hAnsiTheme="minorEastAsia" w:eastAsiaTheme="minorEastAsia" w:cstheme="minorEastAsia"/>
                <w:color w:val="auto"/>
                <w:spacing w:val="45"/>
                <w:position w:val="0"/>
                <w:sz w:val="21"/>
                <w:szCs w:val="21"/>
              </w:rPr>
            </w:pPr>
            <w:r>
              <w:rPr>
                <w:rFonts w:hint="eastAsia" w:asciiTheme="minorEastAsia" w:hAnsiTheme="minorEastAsia" w:eastAsiaTheme="minorEastAsia" w:cstheme="minorEastAsia"/>
                <w:color w:val="333333"/>
                <w:position w:val="0"/>
                <w:sz w:val="21"/>
                <w:szCs w:val="21"/>
              </w:rPr>
              <w:t>隆回县司法局主要工作职责是贯彻执行国家有关司法行政工作的方针、政策、法规，编制全县司法行政工作发展规划和年度计划并监督实施；受县人大和县人民政府的委托，参与有关规范性文件的起草工作，会同有关部门监督检查执行法律、法规和规章情况；制定全县法制宣传教育和依法治理规划并组织实施，指导全县普法依法治理工作；指导和管理全县律师、企业法律顾问和法律援助工作，管理社会法律服务机构；指导监督全县公证工作，并承担相应责任，负责管理公证机构；指导监督基层司法所建设和人民调解、社区矫正、基层法律服务和安置帮教工作，参与社会治安综合治理；负责仲裁登记工作，指导管理全县司法鉴定工作；负责全县司法行政系统计划财务及枪支、弹药、服装和警车管理工作，指导管理司法行政系统队伍建设，党组织建设和思想政治工作；指导管理司法行政系统的教育培训、考核奖励和警务工作，负责管理司法所。加强指导管理全县社区矫正工作和全县公共法律服务工作；承办县人民政府交办的其他事项。</w:t>
            </w:r>
          </w:p>
          <w:p>
            <w:pPr>
              <w:numPr>
                <w:ilvl w:val="0"/>
                <w:numId w:val="0"/>
              </w:numPr>
              <w:autoSpaceDE/>
              <w:autoSpaceDN/>
              <w:spacing w:before="0" w:after="0" w:line="340" w:lineRule="exact"/>
              <w:ind w:right="0" w:firstLine="0"/>
              <w:jc w:val="left"/>
              <w:rPr>
                <w:rFonts w:hint="default" w:ascii="楷体" w:hAnsi="楷体" w:eastAsia="楷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tc>
        <w:tc>
          <w:tcPr>
            <w:tcW w:w="1168"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年度收入（万元）</w:t>
            </w:r>
          </w:p>
        </w:tc>
        <w:tc>
          <w:tcPr>
            <w:tcW w:w="23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县财政预算安排</w:t>
            </w:r>
          </w:p>
        </w:tc>
        <w:tc>
          <w:tcPr>
            <w:tcW w:w="11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975．81</w:t>
            </w:r>
          </w:p>
        </w:tc>
        <w:tc>
          <w:tcPr>
            <w:tcW w:w="155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非税收入</w:t>
            </w:r>
          </w:p>
        </w:tc>
        <w:tc>
          <w:tcPr>
            <w:tcW w:w="1000"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41</w:t>
            </w:r>
          </w:p>
        </w:tc>
        <w:tc>
          <w:tcPr>
            <w:tcW w:w="494"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合计</w:t>
            </w:r>
          </w:p>
        </w:tc>
        <w:tc>
          <w:tcPr>
            <w:tcW w:w="10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1273．81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tc>
        <w:tc>
          <w:tcPr>
            <w:tcW w:w="116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pPr>
          </w:p>
        </w:tc>
        <w:tc>
          <w:tcPr>
            <w:tcW w:w="23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中央省市安排资金</w:t>
            </w:r>
          </w:p>
        </w:tc>
        <w:tc>
          <w:tcPr>
            <w:tcW w:w="11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257</w:t>
            </w:r>
          </w:p>
        </w:tc>
        <w:tc>
          <w:tcPr>
            <w:tcW w:w="155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其他收入</w:t>
            </w:r>
          </w:p>
        </w:tc>
        <w:tc>
          <w:tcPr>
            <w:tcW w:w="1000"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p>
        </w:tc>
        <w:tc>
          <w:tcPr>
            <w:tcW w:w="49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c>
          <w:tcPr>
            <w:tcW w:w="106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tc>
        <w:tc>
          <w:tcPr>
            <w:tcW w:w="1168"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年度支出</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（万元）</w:t>
            </w:r>
          </w:p>
        </w:tc>
        <w:tc>
          <w:tcPr>
            <w:tcW w:w="2372"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基本支出</w:t>
            </w:r>
          </w:p>
        </w:tc>
        <w:tc>
          <w:tcPr>
            <w:tcW w:w="11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1038．2</w:t>
            </w:r>
          </w:p>
        </w:tc>
        <w:tc>
          <w:tcPr>
            <w:tcW w:w="1559" w:type="dxa"/>
            <w:gridSpan w:val="3"/>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项目支出</w:t>
            </w:r>
          </w:p>
        </w:tc>
        <w:tc>
          <w:tcPr>
            <w:tcW w:w="993"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406．07</w:t>
            </w:r>
          </w:p>
        </w:tc>
        <w:tc>
          <w:tcPr>
            <w:tcW w:w="494"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合计</w:t>
            </w:r>
          </w:p>
        </w:tc>
        <w:tc>
          <w:tcPr>
            <w:tcW w:w="1069"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1444．27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vAlign w:val="center"/>
          </w:tcPr>
          <w:p/>
        </w:tc>
        <w:tc>
          <w:tcPr>
            <w:tcW w:w="116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pPr>
          </w:p>
        </w:tc>
        <w:tc>
          <w:tcPr>
            <w:tcW w:w="2372" w:type="dxa"/>
            <w:tcMar>
              <w:left w:w="0" w:type="dxa"/>
              <w:right w:w="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其中三公经费支出</w:t>
            </w:r>
          </w:p>
        </w:tc>
        <w:tc>
          <w:tcPr>
            <w:tcW w:w="1172"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13．5</w:t>
            </w:r>
          </w:p>
        </w:tc>
        <w:tc>
          <w:tcPr>
            <w:tcW w:w="1559"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pPr>
          </w:p>
        </w:tc>
        <w:tc>
          <w:tcPr>
            <w:tcW w:w="99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pPr>
          </w:p>
        </w:tc>
        <w:tc>
          <w:tcPr>
            <w:tcW w:w="49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pPr>
          </w:p>
        </w:tc>
        <w:tc>
          <w:tcPr>
            <w:tcW w:w="106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numPr>
                <w:ilvl w:val="0"/>
                <w:numId w:val="0"/>
              </w:numPr>
              <w:autoSpaceDE/>
              <w:autoSpaceDN/>
              <w:spacing w:before="0" w:after="0" w:line="560" w:lineRule="exac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实施情况</w:t>
            </w:r>
          </w:p>
        </w:tc>
        <w:tc>
          <w:tcPr>
            <w:tcW w:w="116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财政供养人员控制情况</w:t>
            </w:r>
          </w:p>
        </w:tc>
        <w:tc>
          <w:tcPr>
            <w:tcW w:w="7659" w:type="dxa"/>
            <w:gridSpan w:val="9"/>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both"/>
              <w:textAlignment w:val="auto"/>
              <w:outlineLvl w:val="9"/>
              <w:rPr>
                <w:rFonts w:hint="default" w:ascii="楷体" w:hAnsi="楷体" w:eastAsia="楷体"/>
                <w:color w:val="auto"/>
                <w:position w:val="0"/>
                <w:sz w:val="21"/>
                <w:szCs w:val="21"/>
              </w:rPr>
            </w:pPr>
            <w:r>
              <w:rPr>
                <w:rFonts w:hint="default" w:ascii="楷体" w:hAnsi="楷体" w:eastAsia="楷体"/>
                <w:color w:val="auto"/>
                <w:position w:val="0"/>
                <w:sz w:val="21"/>
                <w:szCs w:val="21"/>
              </w:rPr>
              <w:t>是否存在超编超配人员：   是□     否</w:t>
            </w:r>
            <w:r>
              <w:rPr>
                <w:rFonts w:hint="default" w:ascii="Wingdings" w:hAnsi="宋体" w:eastAsia="宋体"/>
                <w:color w:val="auto"/>
                <w:position w:val="0"/>
                <w:sz w:val="21"/>
                <w:szCs w:val="21"/>
              </w:rPr>
              <w:sym w:font="Wingdings" w:char="00F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vAlign w:val="center"/>
          </w:tcPr>
          <w:p/>
        </w:tc>
        <w:tc>
          <w:tcPr>
            <w:tcW w:w="1168" w:type="dxa"/>
            <w:vAlign w:val="center"/>
          </w:tcPr>
          <w:p>
            <w:pPr>
              <w:numPr>
                <w:ilvl w:val="0"/>
                <w:numId w:val="0"/>
              </w:numPr>
              <w:autoSpaceDE/>
              <w:autoSpaceDN/>
              <w:spacing w:before="0" w:after="0" w:line="240" w:lineRule="atLeas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三公经费管理情况</w:t>
            </w:r>
          </w:p>
        </w:tc>
        <w:tc>
          <w:tcPr>
            <w:tcW w:w="7659" w:type="dxa"/>
            <w:gridSpan w:val="9"/>
            <w:vAlign w:val="center"/>
          </w:tcPr>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是否制定“三公”经费管理办法：是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招待费用是否明确招待标准和招待人数：是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公务用车购置运行费是否比上年度下降: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三公经费是否比年度下降：是</w:t>
            </w:r>
            <w:r>
              <w:rPr>
                <w:rFonts w:hint="default" w:ascii="Wingdings" w:hAnsi="宋体" w:eastAsia="宋体"/>
                <w:color w:val="auto"/>
                <w:position w:val="0"/>
                <w:sz w:val="21"/>
                <w:szCs w:val="21"/>
              </w:rPr>
              <w:sym w:font="Wingdings" w:char="00FE"/>
            </w:r>
            <w:r>
              <w:rPr>
                <w:rFonts w:hint="default" w:ascii="楷体" w:hAnsi="宋体" w:eastAsia="宋体"/>
                <w:color w:val="auto"/>
                <w:position w:val="0"/>
                <w:sz w:val="21"/>
                <w:szCs w:val="21"/>
              </w:rPr>
              <w:t xml:space="preserve">  </w:t>
            </w:r>
            <w:r>
              <w:rPr>
                <w:rFonts w:hint="default" w:ascii="楷体" w:hAnsi="楷体" w:eastAsia="楷体"/>
                <w:color w:val="auto"/>
                <w:position w:val="0"/>
                <w:sz w:val="21"/>
                <w:szCs w:val="21"/>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tc>
        <w:tc>
          <w:tcPr>
            <w:tcW w:w="1168" w:type="dxa"/>
            <w:vAlign w:val="center"/>
          </w:tcPr>
          <w:p>
            <w:pPr>
              <w:numPr>
                <w:ilvl w:val="0"/>
                <w:numId w:val="0"/>
              </w:numPr>
              <w:autoSpaceDE/>
              <w:autoSpaceDN/>
              <w:spacing w:before="0" w:after="0" w:line="240" w:lineRule="atLeas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非税收入完成情况</w:t>
            </w:r>
          </w:p>
        </w:tc>
        <w:tc>
          <w:tcPr>
            <w:tcW w:w="7659" w:type="dxa"/>
            <w:gridSpan w:val="9"/>
            <w:vAlign w:val="center"/>
          </w:tcPr>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年度非税收入是否完成: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是否实行收支两条线管理：是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有无截留、坐支、转移等现象:有□     无</w:t>
            </w:r>
            <w:r>
              <w:rPr>
                <w:rFonts w:hint="default" w:ascii="Wingdings" w:hAnsi="宋体" w:eastAsia="宋体"/>
                <w:color w:val="auto"/>
                <w:position w:val="0"/>
                <w:sz w:val="21"/>
                <w:szCs w:val="21"/>
              </w:rPr>
              <w:sym w:font="Wingdings" w:char="00F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tc>
        <w:tc>
          <w:tcPr>
            <w:tcW w:w="1168" w:type="dxa"/>
            <w:vAlign w:val="center"/>
          </w:tcPr>
          <w:p>
            <w:pPr>
              <w:numPr>
                <w:ilvl w:val="0"/>
                <w:numId w:val="0"/>
              </w:numPr>
              <w:autoSpaceDE/>
              <w:autoSpaceDN/>
              <w:spacing w:before="0" w:after="0" w:line="360" w:lineRule="exac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政府采购及金额</w:t>
            </w:r>
          </w:p>
        </w:tc>
        <w:tc>
          <w:tcPr>
            <w:tcW w:w="7659" w:type="dxa"/>
            <w:gridSpan w:val="9"/>
            <w:vAlign w:val="center"/>
          </w:tcPr>
          <w:p>
            <w:pPr>
              <w:numPr>
                <w:ilvl w:val="0"/>
                <w:numId w:val="0"/>
              </w:numPr>
              <w:autoSpaceDE/>
              <w:autoSpaceDN/>
              <w:spacing w:before="0" w:after="0" w:line="360" w:lineRule="exact"/>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年度是否制定了政府采购计划：是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360" w:lineRule="exact"/>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应采购金额225万元，实际采购金额187.95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827" w:hRule="exact"/>
        </w:trPr>
        <w:tc>
          <w:tcPr>
            <w:tcW w:w="533" w:type="dxa"/>
            <w:vMerge w:val="continue"/>
            <w:vAlign w:val="center"/>
          </w:tcPr>
          <w:p/>
        </w:tc>
        <w:tc>
          <w:tcPr>
            <w:tcW w:w="1168" w:type="dxa"/>
            <w:vAlign w:val="center"/>
          </w:tcPr>
          <w:p>
            <w:pPr>
              <w:numPr>
                <w:ilvl w:val="0"/>
                <w:numId w:val="0"/>
              </w:numPr>
              <w:autoSpaceDE/>
              <w:autoSpaceDN/>
              <w:spacing w:before="0" w:after="0" w:line="360" w:lineRule="exac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预算执行</w:t>
            </w:r>
          </w:p>
        </w:tc>
        <w:tc>
          <w:tcPr>
            <w:tcW w:w="7659" w:type="dxa"/>
            <w:gridSpan w:val="9"/>
            <w:vAlign w:val="center"/>
          </w:tcPr>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本年度是否追加了预算:是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 追加金额 4.2 万元</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本年度是否有结余: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否□,结余金额378.71  万元</w:t>
            </w:r>
          </w:p>
          <w:p>
            <w:pPr>
              <w:numPr>
                <w:ilvl w:val="0"/>
                <w:numId w:val="0"/>
              </w:numPr>
              <w:autoSpaceDE/>
              <w:autoSpaceDN/>
              <w:spacing w:before="0" w:after="0" w:line="240" w:lineRule="auto"/>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预决算信息是否公开: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公开时间: 2017 年  4 月 26 日</w:t>
            </w:r>
          </w:p>
          <w:p>
            <w:pPr>
              <w:numPr>
                <w:ilvl w:val="0"/>
                <w:numId w:val="0"/>
              </w:numPr>
              <w:autoSpaceDE/>
              <w:autoSpaceDN/>
              <w:spacing w:before="0" w:after="0" w:line="240" w:lineRule="auto"/>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公开方式:门户网站</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单位内部□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068" w:hRule="exact"/>
        </w:trPr>
        <w:tc>
          <w:tcPr>
            <w:tcW w:w="533" w:type="dxa"/>
            <w:vMerge w:val="continue"/>
            <w:vAlign w:val="center"/>
          </w:tcPr>
          <w:p/>
        </w:tc>
        <w:tc>
          <w:tcPr>
            <w:tcW w:w="1168" w:type="dxa"/>
            <w:vAlign w:val="center"/>
          </w:tcPr>
          <w:p>
            <w:pPr>
              <w:numPr>
                <w:ilvl w:val="0"/>
                <w:numId w:val="0"/>
              </w:numPr>
              <w:autoSpaceDE/>
              <w:autoSpaceDN/>
              <w:spacing w:before="0" w:after="0" w:line="240" w:lineRule="atLeast"/>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财务管理</w:t>
            </w:r>
          </w:p>
        </w:tc>
        <w:tc>
          <w:tcPr>
            <w:tcW w:w="7659" w:type="dxa"/>
            <w:gridSpan w:val="9"/>
            <w:vAlign w:val="center"/>
          </w:tcPr>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是否制定财务管理、会计核算等制度: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会计机构是否按规定设置: 是</w:t>
            </w:r>
            <w:r>
              <w:rPr>
                <w:rFonts w:hint="default" w:ascii="Wingdings" w:hAnsi="宋体" w:eastAsia="宋体"/>
                <w:color w:val="auto"/>
                <w:position w:val="0"/>
                <w:sz w:val="21"/>
                <w:szCs w:val="21"/>
              </w:rPr>
              <w:sym w:font="Wingdings" w:char="00FE"/>
            </w:r>
            <w:r>
              <w:rPr>
                <w:rFonts w:hint="eastAsia" w:ascii="Wingdings" w:hAnsi="宋体"/>
                <w:color w:val="auto"/>
                <w:position w:val="0"/>
                <w:sz w:val="21"/>
                <w:szCs w:val="21"/>
                <w:lang w:val="en-US" w:eastAsia="zh-CN"/>
              </w:rPr>
              <w:t xml:space="preserve"> </w:t>
            </w:r>
            <w:r>
              <w:rPr>
                <w:rFonts w:hint="default" w:ascii="楷体" w:hAnsi="宋体" w:eastAsia="宋体"/>
                <w:color w:val="auto"/>
                <w:position w:val="0"/>
                <w:sz w:val="21"/>
                <w:szCs w:val="21"/>
              </w:rPr>
              <w:t xml:space="preserve"> </w:t>
            </w:r>
            <w:r>
              <w:rPr>
                <w:rFonts w:hint="default" w:ascii="楷体" w:hAnsi="楷体" w:eastAsia="楷体"/>
                <w:color w:val="auto"/>
                <w:position w:val="0"/>
                <w:sz w:val="21"/>
                <w:szCs w:val="21"/>
              </w:rPr>
              <w:t>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会计人员是否持证上岗: 是</w:t>
            </w:r>
            <w:r>
              <w:rPr>
                <w:rFonts w:hint="default" w:ascii="Wingdings" w:hAnsi="宋体" w:eastAsia="宋体"/>
                <w:color w:val="auto"/>
                <w:position w:val="0"/>
                <w:sz w:val="21"/>
                <w:szCs w:val="21"/>
              </w:rPr>
              <w:sym w:font="Wingdings" w:char="00FE"/>
            </w:r>
            <w:r>
              <w:rPr>
                <w:rFonts w:hint="default" w:ascii="Arial" w:hAnsi="宋体" w:eastAsia="宋体"/>
                <w:color w:val="auto"/>
                <w:position w:val="0"/>
                <w:sz w:val="21"/>
                <w:szCs w:val="21"/>
              </w:rPr>
              <w:t xml:space="preserve"> </w:t>
            </w:r>
            <w:r>
              <w:rPr>
                <w:rFonts w:hint="eastAsia" w:ascii="Arial" w:hAnsi="宋体"/>
                <w:color w:val="auto"/>
                <w:position w:val="0"/>
                <w:sz w:val="21"/>
                <w:szCs w:val="21"/>
                <w:lang w:val="en-US" w:eastAsia="zh-CN"/>
              </w:rPr>
              <w:t xml:space="preserve"> </w:t>
            </w:r>
            <w:r>
              <w:rPr>
                <w:rFonts w:hint="default" w:ascii="楷体" w:hAnsi="楷体" w:eastAsia="楷体"/>
                <w:color w:val="auto"/>
                <w:positio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049" w:hRule="exact"/>
        </w:trPr>
        <w:tc>
          <w:tcPr>
            <w:tcW w:w="533" w:type="dxa"/>
            <w:vMerge w:val="continue"/>
            <w:vAlign w:val="center"/>
          </w:tcPr>
          <w:p/>
        </w:tc>
        <w:tc>
          <w:tcPr>
            <w:tcW w:w="1168" w:type="dxa"/>
            <w:vAlign w:val="center"/>
          </w:tcPr>
          <w:p>
            <w:pPr>
              <w:numPr>
                <w:ilvl w:val="0"/>
                <w:numId w:val="0"/>
              </w:numPr>
              <w:autoSpaceDE/>
              <w:autoSpaceDN/>
              <w:spacing w:before="0" w:after="0" w:line="400" w:lineRule="exact"/>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资金管理</w:t>
            </w:r>
          </w:p>
        </w:tc>
        <w:tc>
          <w:tcPr>
            <w:tcW w:w="7659" w:type="dxa"/>
            <w:gridSpan w:val="9"/>
            <w:vAlign w:val="center"/>
          </w:tcPr>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是否制定资金管理办法: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资金拨付有完整的审批程序: 有</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无□</w:t>
            </w:r>
          </w:p>
          <w:p>
            <w:pPr>
              <w:numPr>
                <w:ilvl w:val="0"/>
                <w:numId w:val="0"/>
              </w:numPr>
              <w:autoSpaceDE/>
              <w:autoSpaceDN/>
              <w:spacing w:before="0" w:after="0" w:line="240" w:lineRule="auto"/>
              <w:ind w:left="3885" w:right="0" w:hanging="3885"/>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资金使用是否存在违规使用资金、乱发津补贴奖金现象：是□  否</w:t>
            </w:r>
            <w:r>
              <w:rPr>
                <w:rFonts w:hint="default" w:ascii="Wingdings" w:hAnsi="宋体" w:eastAsia="宋体"/>
                <w:color w:val="auto"/>
                <w:position w:val="0"/>
                <w:sz w:val="21"/>
                <w:szCs w:val="21"/>
              </w:rPr>
              <w:sym w:font="Wingdings" w:char="00F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1397" w:hRule="exact"/>
        </w:trPr>
        <w:tc>
          <w:tcPr>
            <w:tcW w:w="533" w:type="dxa"/>
            <w:vMerge w:val="continue"/>
            <w:vAlign w:val="center"/>
          </w:tcPr>
          <w:p/>
        </w:tc>
        <w:tc>
          <w:tcPr>
            <w:tcW w:w="1168" w:type="dxa"/>
            <w:vAlign w:val="center"/>
          </w:tcPr>
          <w:p>
            <w:pPr>
              <w:numPr>
                <w:ilvl w:val="0"/>
                <w:numId w:val="0"/>
              </w:numPr>
              <w:autoSpaceDE/>
              <w:autoSpaceDN/>
              <w:spacing w:before="0" w:after="0" w:line="240" w:lineRule="atLeas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资产管理</w:t>
            </w:r>
          </w:p>
        </w:tc>
        <w:tc>
          <w:tcPr>
            <w:tcW w:w="7659" w:type="dxa"/>
            <w:gridSpan w:val="9"/>
            <w:vAlign w:val="center"/>
          </w:tcPr>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是否制定资产管理制度: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资产管理、保存、处置是否合理规范: 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资产是否产权清晰、两证齐全：是</w:t>
            </w:r>
            <w:r>
              <w:rPr>
                <w:rFonts w:hint="default" w:ascii="Wingdings" w:hAnsi="宋体" w:eastAsia="宋体"/>
                <w:color w:val="auto"/>
                <w:position w:val="0"/>
                <w:sz w:val="21"/>
                <w:szCs w:val="21"/>
              </w:rPr>
              <w:sym w:font="Wingdings" w:char="00FE"/>
            </w:r>
            <w:r>
              <w:rPr>
                <w:rFonts w:hint="default" w:ascii="楷体" w:hAnsi="楷体" w:eastAsia="楷体"/>
                <w:color w:val="auto"/>
                <w:position w:val="0"/>
                <w:sz w:val="21"/>
                <w:szCs w:val="21"/>
              </w:rPr>
              <w:t xml:space="preserve">  否□</w:t>
            </w:r>
          </w:p>
          <w:p>
            <w:pPr>
              <w:numPr>
                <w:ilvl w:val="0"/>
                <w:numId w:val="0"/>
              </w:numPr>
              <w:autoSpaceDE/>
              <w:autoSpaceDN/>
              <w:spacing w:before="0" w:after="0" w:line="240" w:lineRule="auto"/>
              <w:ind w:right="0" w:firstLine="0"/>
              <w:jc w:val="both"/>
              <w:rPr>
                <w:rFonts w:hint="default" w:ascii="楷体" w:hAnsi="楷体" w:eastAsia="楷体"/>
                <w:color w:val="auto"/>
                <w:position w:val="0"/>
                <w:sz w:val="21"/>
                <w:szCs w:val="21"/>
              </w:rPr>
            </w:pPr>
            <w:r>
              <w:rPr>
                <w:rFonts w:hint="default" w:ascii="楷体" w:hAnsi="楷体" w:eastAsia="楷体"/>
                <w:color w:val="auto"/>
                <w:position w:val="0"/>
                <w:sz w:val="21"/>
                <w:szCs w:val="21"/>
              </w:rPr>
              <w:t>账、表、实、卡是否相符: 是</w:t>
            </w:r>
            <w:r>
              <w:rPr>
                <w:rFonts w:hint="default" w:ascii="Wingdings" w:hAnsi="宋体" w:eastAsia="宋体"/>
                <w:color w:val="auto"/>
                <w:position w:val="0"/>
                <w:sz w:val="21"/>
                <w:szCs w:val="21"/>
              </w:rPr>
              <w:sym w:font="Wingdings" w:char="00FE"/>
            </w:r>
            <w:r>
              <w:rPr>
                <w:rFonts w:hint="default" w:ascii="楷体" w:hAnsi="宋体" w:eastAsia="宋体"/>
                <w:color w:val="auto"/>
                <w:position w:val="0"/>
                <w:sz w:val="21"/>
                <w:szCs w:val="21"/>
              </w:rPr>
              <w:t xml:space="preserve">  </w:t>
            </w:r>
            <w:r>
              <w:rPr>
                <w:rFonts w:hint="default" w:ascii="楷体" w:hAnsi="楷体" w:eastAsia="楷体"/>
                <w:color w:val="auto"/>
                <w:position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cantSplit/>
          <w:trHeight w:val="541" w:hRule="exact"/>
        </w:trPr>
        <w:tc>
          <w:tcPr>
            <w:tcW w:w="533" w:type="dxa"/>
            <w:vMerge w:val="continue"/>
            <w:vAlign w:val="center"/>
          </w:tcPr>
          <w:p/>
        </w:tc>
        <w:tc>
          <w:tcPr>
            <w:tcW w:w="1168" w:type="dxa"/>
            <w:vAlign w:val="center"/>
          </w:tcPr>
          <w:p>
            <w:pPr>
              <w:numPr>
                <w:ilvl w:val="0"/>
                <w:numId w:val="0"/>
              </w:numPr>
              <w:autoSpaceDE/>
              <w:autoSpaceDN/>
              <w:spacing w:before="0" w:after="0" w:line="360" w:lineRule="exact"/>
              <w:ind w:right="0" w:firstLine="0"/>
              <w:jc w:val="center"/>
              <w:rPr>
                <w:rFonts w:hint="default" w:ascii="楷体" w:hAnsi="楷体" w:eastAsia="楷体"/>
                <w:color w:val="auto"/>
                <w:position w:val="0"/>
                <w:sz w:val="21"/>
                <w:szCs w:val="21"/>
              </w:rPr>
            </w:pPr>
            <w:r>
              <w:rPr>
                <w:rFonts w:hint="default" w:ascii="楷体" w:hAnsi="楷体" w:eastAsia="楷体"/>
                <w:color w:val="auto"/>
                <w:position w:val="0"/>
                <w:sz w:val="21"/>
                <w:szCs w:val="21"/>
              </w:rPr>
              <w:t>职责履行</w:t>
            </w:r>
          </w:p>
        </w:tc>
        <w:tc>
          <w:tcPr>
            <w:tcW w:w="7659" w:type="dxa"/>
            <w:gridSpan w:val="9"/>
            <w:vAlign w:val="top"/>
          </w:tcPr>
          <w:p>
            <w:pPr>
              <w:numPr>
                <w:ilvl w:val="0"/>
                <w:numId w:val="0"/>
              </w:numPr>
              <w:autoSpaceDE/>
              <w:autoSpaceDN/>
              <w:spacing w:before="0" w:after="0" w:line="560" w:lineRule="exact"/>
              <w:ind w:right="0" w:firstLine="0"/>
              <w:jc w:val="left"/>
              <w:rPr>
                <w:rFonts w:hint="default" w:ascii="楷体" w:hAnsi="楷体" w:eastAsia="楷体"/>
                <w:color w:val="auto"/>
                <w:position w:val="0"/>
                <w:sz w:val="21"/>
                <w:szCs w:val="21"/>
              </w:rPr>
            </w:pPr>
            <w:r>
              <w:rPr>
                <w:rFonts w:hint="default" w:ascii="楷体" w:hAnsi="楷体" w:eastAsia="楷体"/>
                <w:color w:val="auto"/>
                <w:position w:val="0"/>
                <w:sz w:val="21"/>
                <w:szCs w:val="21"/>
              </w:rPr>
              <w:t>重点工作是否全部完成且质量达标: 是</w:t>
            </w:r>
            <w:r>
              <w:rPr>
                <w:rFonts w:hint="default" w:ascii="Wingdings" w:hAnsi="宋体" w:eastAsia="宋体"/>
                <w:color w:val="auto"/>
                <w:position w:val="0"/>
                <w:sz w:val="21"/>
                <w:szCs w:val="21"/>
              </w:rPr>
              <w:sym w:font="Wingdings" w:char="00FE"/>
            </w:r>
            <w:r>
              <w:rPr>
                <w:rFonts w:hint="default" w:ascii="楷体" w:hAnsi="宋体" w:eastAsia="宋体"/>
                <w:color w:val="auto"/>
                <w:position w:val="0"/>
                <w:sz w:val="21"/>
                <w:szCs w:val="21"/>
              </w:rPr>
              <w:t xml:space="preserve">  </w:t>
            </w:r>
            <w:r>
              <w:rPr>
                <w:rFonts w:hint="default" w:ascii="楷体" w:hAnsi="楷体" w:eastAsia="楷体"/>
                <w:color w:val="auto"/>
                <w:position w:val="0"/>
                <w:sz w:val="21"/>
                <w:szCs w:val="21"/>
              </w:rPr>
              <w:t>否□</w:t>
            </w:r>
          </w:p>
          <w:p>
            <w:pPr>
              <w:numPr>
                <w:ilvl w:val="0"/>
                <w:numId w:val="0"/>
              </w:numPr>
              <w:autoSpaceDE/>
              <w:autoSpaceDN/>
              <w:spacing w:before="0" w:after="0" w:line="560" w:lineRule="exact"/>
              <w:ind w:right="0" w:firstLine="0"/>
              <w:jc w:val="left"/>
              <w:rPr>
                <w:rFonts w:hint="default" w:ascii="楷体" w:hAnsi="楷体" w:eastAsia="楷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3959" w:hRule="atLeast"/>
        </w:trPr>
        <w:tc>
          <w:tcPr>
            <w:tcW w:w="5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部门</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主要绩效</w:t>
            </w:r>
          </w:p>
        </w:tc>
        <w:tc>
          <w:tcPr>
            <w:tcW w:w="8827" w:type="dxa"/>
            <w:gridSpan w:val="1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1、法律援助为群众争取了经济利益,挽回了经济损失;全年争取经济利益或挽回经济损失3836万元。</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2、加快基层信息化建设,县社区矫正中心和26个乡镇司法所全面建成社区矫正视讯系统。</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3、全面推进公共法律服务体系建设,整合法律咨询、法律援助、律师管理、信访接待等服务职能，打造一流的县级公共法律服务平台，极大地方便了群众寻求优质的法律服务。</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4、人民调解“以奖代补”聚力矛盾纠纷化解，全年全县调解组织申报“以奖代补”金额139.25万元,扎实开展“三调联动解纠纷,防控风险促发展”等专项排查活动,涌现了一大批先进人物,.其中七江镇人民调解员欧阳秋仁获“全国模范人民调解员”,周旺镇肖良春获得“全国法律援助先进个人”等荣誉称号。</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5、坚持普法并举,建设法治隆回,我局荣获“六五”普法依法治理先进单位;开通了“隆回司法局”微信公众号,官方发布普法知识,强化法治文化长廊建设,推进法治公园建设,营造良好的普法氛围。</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楷体" w:hAnsi="楷体" w:eastAsia="楷体"/>
                <w:color w:val="auto"/>
                <w:position w:val="0"/>
                <w:sz w:val="21"/>
                <w:szCs w:val="21"/>
              </w:rPr>
            </w:pPr>
            <w:r>
              <w:rPr>
                <w:rFonts w:hint="default" w:asciiTheme="minorEastAsia" w:hAnsiTheme="minorEastAsia" w:eastAsiaTheme="minorEastAsia" w:cstheme="minorEastAsia"/>
                <w:color w:val="333333"/>
                <w:position w:val="0"/>
                <w:sz w:val="21"/>
                <w:szCs w:val="21"/>
              </w:rPr>
              <w:t>6、扎实开展脱贫攻坚和基层党建工作.扶贫工作深得民心。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1172" w:hRule="atLeast"/>
        </w:trPr>
        <w:tc>
          <w:tcPr>
            <w:tcW w:w="5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自评结论</w:t>
            </w:r>
          </w:p>
        </w:tc>
        <w:tc>
          <w:tcPr>
            <w:tcW w:w="8827" w:type="dxa"/>
            <w:gridSpan w:val="1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728" w:hRule="atLeast"/>
        </w:trPr>
        <w:tc>
          <w:tcPr>
            <w:tcW w:w="53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问题与建议</w:t>
            </w:r>
          </w:p>
        </w:tc>
        <w:tc>
          <w:tcPr>
            <w:tcW w:w="8827" w:type="dxa"/>
            <w:gridSpan w:val="1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存在的问题：</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1</w:t>
            </w:r>
            <w:r>
              <w:rPr>
                <w:rFonts w:hint="eastAsia" w:asciiTheme="minorEastAsia" w:hAnsiTheme="minorEastAsia" w:cstheme="minorEastAsia"/>
                <w:color w:val="333333"/>
                <w:position w:val="0"/>
                <w:sz w:val="21"/>
                <w:szCs w:val="21"/>
                <w:lang w:val="en-US" w:eastAsia="zh-CN"/>
              </w:rPr>
              <w:t>.</w:t>
            </w:r>
            <w:r>
              <w:rPr>
                <w:rFonts w:hint="default" w:asciiTheme="minorEastAsia" w:hAnsiTheme="minorEastAsia" w:eastAsiaTheme="minorEastAsia" w:cstheme="minorEastAsia"/>
                <w:color w:val="333333"/>
                <w:position w:val="0"/>
                <w:sz w:val="21"/>
                <w:szCs w:val="21"/>
              </w:rPr>
              <w:t>司法所缺编少人，办公用房紧缺，制约了基层司法行政工作的开展。</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2</w:t>
            </w:r>
            <w:r>
              <w:rPr>
                <w:rFonts w:hint="eastAsia" w:asciiTheme="minorEastAsia" w:hAnsiTheme="minorEastAsia" w:cstheme="minorEastAsia"/>
                <w:color w:val="333333"/>
                <w:position w:val="0"/>
                <w:sz w:val="21"/>
                <w:szCs w:val="21"/>
                <w:lang w:val="en-US" w:eastAsia="zh-CN"/>
              </w:rPr>
              <w:t>.</w:t>
            </w:r>
            <w:r>
              <w:rPr>
                <w:rFonts w:hint="default" w:asciiTheme="minorEastAsia" w:hAnsiTheme="minorEastAsia" w:eastAsiaTheme="minorEastAsia" w:cstheme="minorEastAsia"/>
                <w:color w:val="333333"/>
                <w:position w:val="0"/>
                <w:sz w:val="21"/>
                <w:szCs w:val="21"/>
              </w:rPr>
              <w:t>人民调解阵地建设不规范，调解组织的作用没有充分发挥。</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3</w:t>
            </w:r>
            <w:r>
              <w:rPr>
                <w:rFonts w:hint="eastAsia" w:asciiTheme="minorEastAsia" w:hAnsiTheme="minorEastAsia" w:cstheme="minorEastAsia"/>
                <w:color w:val="333333"/>
                <w:position w:val="0"/>
                <w:sz w:val="21"/>
                <w:szCs w:val="21"/>
                <w:lang w:val="en-US" w:eastAsia="zh-CN"/>
              </w:rPr>
              <w:t>.</w:t>
            </w:r>
            <w:r>
              <w:rPr>
                <w:rFonts w:hint="default" w:asciiTheme="minorEastAsia" w:hAnsiTheme="minorEastAsia" w:eastAsiaTheme="minorEastAsia" w:cstheme="minorEastAsia"/>
                <w:color w:val="333333"/>
                <w:position w:val="0"/>
                <w:sz w:val="21"/>
                <w:szCs w:val="21"/>
              </w:rPr>
              <w:t>局机关班子职数少，任务重、压力大。局机关干部年龄普遍偏大，工作动力不足。</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Theme="minorEastAsia" w:hAnsiTheme="minorEastAsia" w:eastAsiaTheme="minorEastAsia" w:cstheme="minorEastAsia"/>
                <w:color w:val="333333"/>
                <w:position w:val="0"/>
                <w:sz w:val="21"/>
                <w:szCs w:val="21"/>
              </w:rPr>
            </w:pPr>
            <w:r>
              <w:rPr>
                <w:rFonts w:hint="default" w:asciiTheme="minorEastAsia" w:hAnsiTheme="minorEastAsia" w:eastAsiaTheme="minorEastAsia" w:cstheme="minorEastAsia"/>
                <w:color w:val="333333"/>
                <w:position w:val="0"/>
                <w:sz w:val="21"/>
                <w:szCs w:val="21"/>
              </w:rPr>
              <w:t>1</w:t>
            </w:r>
            <w:r>
              <w:rPr>
                <w:rFonts w:hint="eastAsia" w:asciiTheme="minorEastAsia" w:hAnsiTheme="minorEastAsia" w:cstheme="minorEastAsia"/>
                <w:color w:val="333333"/>
                <w:position w:val="0"/>
                <w:sz w:val="21"/>
                <w:szCs w:val="21"/>
                <w:lang w:val="en-US" w:eastAsia="zh-CN"/>
              </w:rPr>
              <w:t>.</w:t>
            </w:r>
            <w:r>
              <w:rPr>
                <w:rFonts w:hint="default" w:asciiTheme="minorEastAsia" w:hAnsiTheme="minorEastAsia" w:eastAsiaTheme="minorEastAsia" w:cstheme="minorEastAsia"/>
                <w:color w:val="333333"/>
                <w:position w:val="0"/>
                <w:sz w:val="21"/>
                <w:szCs w:val="21"/>
              </w:rPr>
              <w:t>加大对缺编司法所人员招录力度，落实上级规定的每所不少于3-5人的目标。同时，逐步改善司法所办公条件。</w:t>
            </w: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420"/>
              <w:jc w:val="both"/>
              <w:textAlignment w:val="auto"/>
              <w:outlineLvl w:val="9"/>
              <w:rPr>
                <w:rFonts w:hint="default" w:ascii="楷体" w:hAnsi="楷体" w:eastAsia="楷体"/>
                <w:color w:val="auto"/>
                <w:position w:val="0"/>
                <w:sz w:val="21"/>
                <w:szCs w:val="21"/>
              </w:rPr>
            </w:pPr>
            <w:r>
              <w:rPr>
                <w:rFonts w:hint="default" w:asciiTheme="minorEastAsia" w:hAnsiTheme="minorEastAsia" w:eastAsiaTheme="minorEastAsia" w:cstheme="minorEastAsia"/>
                <w:color w:val="333333"/>
                <w:position w:val="0"/>
                <w:sz w:val="21"/>
                <w:szCs w:val="21"/>
              </w:rPr>
              <w:t>2</w:t>
            </w:r>
            <w:r>
              <w:rPr>
                <w:rFonts w:hint="eastAsia" w:asciiTheme="minorEastAsia" w:hAnsiTheme="minorEastAsia" w:cstheme="minorEastAsia"/>
                <w:color w:val="333333"/>
                <w:position w:val="0"/>
                <w:sz w:val="21"/>
                <w:szCs w:val="21"/>
                <w:lang w:val="en-US" w:eastAsia="zh-CN"/>
              </w:rPr>
              <w:t>.</w:t>
            </w:r>
            <w:r>
              <w:rPr>
                <w:rFonts w:hint="default" w:asciiTheme="minorEastAsia" w:hAnsiTheme="minorEastAsia" w:eastAsiaTheme="minorEastAsia" w:cstheme="minorEastAsia"/>
                <w:color w:val="333333"/>
                <w:position w:val="0"/>
                <w:sz w:val="21"/>
                <w:szCs w:val="21"/>
              </w:rPr>
              <w:t>建议开展村级人民调解委员会成员的培训，县财政应将该项培训工作经费纳入年度预算。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5" w:type="dxa"/>
          <w:wAfter w:w="56" w:type="dxa"/>
          <w:trHeight w:val="1722" w:hRule="atLeast"/>
        </w:trPr>
        <w:tc>
          <w:tcPr>
            <w:tcW w:w="533" w:type="dxa"/>
            <w:vAlign w:val="top"/>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0"/>
              <w:jc w:val="center"/>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主管部门意见</w:t>
            </w:r>
          </w:p>
        </w:tc>
        <w:tc>
          <w:tcPr>
            <w:tcW w:w="8827" w:type="dxa"/>
            <w:gridSpan w:val="10"/>
            <w:vAlign w:val="top"/>
          </w:tcPr>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3360"/>
              <w:jc w:val="both"/>
              <w:textAlignment w:val="auto"/>
              <w:rPr>
                <w:rFonts w:hint="default" w:ascii="楷体" w:hAnsi="楷体" w:eastAsia="楷体"/>
                <w:color w:val="auto"/>
                <w:positio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3360"/>
              <w:jc w:val="both"/>
              <w:textAlignment w:val="auto"/>
              <w:rPr>
                <w:rFonts w:hint="default" w:ascii="楷体" w:hAnsi="楷体" w:eastAsia="楷体"/>
                <w:color w:val="auto"/>
                <w:positio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3360"/>
              <w:jc w:val="both"/>
              <w:textAlignment w:val="auto"/>
              <w:rPr>
                <w:rFonts w:hint="default" w:ascii="楷体" w:hAnsi="楷体" w:eastAsia="楷体"/>
                <w:color w:val="auto"/>
                <w:positio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3360"/>
              <w:jc w:val="both"/>
              <w:textAlignment w:val="auto"/>
              <w:rPr>
                <w:rFonts w:hint="default" w:ascii="楷体" w:hAnsi="楷体" w:eastAsia="楷体"/>
                <w:color w:val="auto"/>
                <w:position w:val="0"/>
                <w:sz w:val="21"/>
                <w:szCs w:val="21"/>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280" w:lineRule="exact"/>
              <w:ind w:right="0" w:firstLine="3360"/>
              <w:jc w:val="both"/>
              <w:textAlignment w:val="auto"/>
              <w:rPr>
                <w:rFonts w:hint="default" w:ascii="楷体" w:hAnsi="楷体" w:eastAsia="楷体"/>
                <w:color w:val="auto"/>
                <w:position w:val="0"/>
                <w:sz w:val="21"/>
                <w:szCs w:val="21"/>
              </w:rPr>
            </w:pPr>
            <w:r>
              <w:rPr>
                <w:rFonts w:hint="default" w:ascii="楷体" w:hAnsi="楷体" w:eastAsia="楷体"/>
                <w:color w:val="auto"/>
                <w:position w:val="0"/>
                <w:sz w:val="21"/>
                <w:szCs w:val="21"/>
              </w:rPr>
              <w:t>主管部门（盖章）：</w:t>
            </w:r>
          </w:p>
        </w:tc>
      </w:tr>
    </w:tbl>
    <w:p>
      <w:pPr>
        <w:numPr>
          <w:ilvl w:val="0"/>
          <w:numId w:val="0"/>
        </w:numPr>
        <w:autoSpaceDE/>
        <w:autoSpaceDN/>
        <w:spacing w:before="0" w:after="0" w:line="240" w:lineRule="auto"/>
        <w:ind w:right="0"/>
        <w:jc w:val="both"/>
        <w:rPr>
          <w:rFonts w:hint="default" w:ascii="宋体" w:hAnsi="宋体" w:eastAsia="宋体"/>
          <w:color w:val="auto"/>
          <w:position w:val="0"/>
          <w:sz w:val="21"/>
          <w:szCs w:val="21"/>
        </w:rPr>
      </w:pPr>
      <w:r>
        <w:rPr>
          <w:rFonts w:hint="default" w:ascii="宋体" w:hAnsi="宋体" w:eastAsia="宋体"/>
          <w:color w:val="auto"/>
          <w:position w:val="0"/>
          <w:sz w:val="21"/>
          <w:szCs w:val="21"/>
        </w:rPr>
        <w:t>填报人：邹岳歧       联系电话：15367</w:t>
      </w:r>
      <w:r>
        <w:rPr>
          <w:rFonts w:hint="eastAsia" w:ascii="宋体" w:hAnsi="宋体"/>
          <w:color w:val="auto"/>
          <w:position w:val="0"/>
          <w:sz w:val="21"/>
          <w:szCs w:val="21"/>
          <w:lang w:val="en-US" w:eastAsia="zh-CN"/>
        </w:rPr>
        <w:t>****</w:t>
      </w:r>
      <w:bookmarkStart w:id="0" w:name="_GoBack"/>
      <w:bookmarkEnd w:id="0"/>
      <w:r>
        <w:rPr>
          <w:rFonts w:hint="default" w:ascii="宋体" w:hAnsi="宋体" w:eastAsia="宋体"/>
          <w:color w:val="auto"/>
          <w:position w:val="0"/>
          <w:sz w:val="21"/>
          <w:szCs w:val="21"/>
        </w:rPr>
        <w:t>60           时间：2018 年</w:t>
      </w:r>
      <w:r>
        <w:rPr>
          <w:rFonts w:hint="default" w:ascii="宋体" w:hAnsi="Times New Roman" w:eastAsia="Times New Roman"/>
          <w:color w:val="auto"/>
          <w:position w:val="0"/>
          <w:sz w:val="21"/>
          <w:szCs w:val="21"/>
        </w:rPr>
        <w:t xml:space="preserve"> </w:t>
      </w:r>
      <w:r>
        <w:rPr>
          <w:rFonts w:hint="default" w:ascii="宋体" w:hAnsi="宋体" w:eastAsia="宋体"/>
          <w:color w:val="auto"/>
          <w:position w:val="0"/>
          <w:sz w:val="21"/>
          <w:szCs w:val="21"/>
        </w:rPr>
        <w:t xml:space="preserve"> 8 月</w:t>
      </w:r>
      <w:r>
        <w:rPr>
          <w:rFonts w:hint="default" w:ascii="宋体" w:hAnsi="Times New Roman" w:eastAsia="Times New Roman"/>
          <w:color w:val="auto"/>
          <w:position w:val="0"/>
          <w:sz w:val="21"/>
          <w:szCs w:val="21"/>
        </w:rPr>
        <w:t xml:space="preserve"> </w:t>
      </w:r>
      <w:r>
        <w:rPr>
          <w:rFonts w:hint="default" w:ascii="宋体" w:hAnsi="宋体" w:eastAsia="宋体"/>
          <w:color w:val="auto"/>
          <w:position w:val="0"/>
          <w:sz w:val="21"/>
          <w:szCs w:val="21"/>
        </w:rPr>
        <w:t xml:space="preserve"> 20 日</w:t>
      </w:r>
    </w:p>
    <w:p>
      <w:pPr>
        <w:numPr>
          <w:ilvl w:val="0"/>
          <w:numId w:val="0"/>
        </w:numPr>
        <w:autoSpaceDE/>
        <w:autoSpaceDN/>
        <w:spacing w:before="0" w:after="0" w:line="240" w:lineRule="auto"/>
        <w:ind w:right="0"/>
        <w:jc w:val="both"/>
        <w:rPr>
          <w:rFonts w:hint="default" w:ascii="黑体" w:hAnsi="宋体" w:eastAsia="宋体"/>
          <w:color w:val="auto"/>
          <w:position w:val="0"/>
          <w:sz w:val="32"/>
          <w:szCs w:val="32"/>
        </w:rPr>
      </w:pPr>
      <w:r>
        <w:rPr>
          <w:rFonts w:hint="default" w:ascii="Times New Roman" w:hAnsi="黑体" w:eastAsia="黑体"/>
          <w:color w:val="auto"/>
          <w:position w:val="0"/>
          <w:sz w:val="21"/>
          <w:szCs w:val="21"/>
        </w:rPr>
        <w:t>注：自评结论填“优、良、中、差”。</w:t>
      </w:r>
    </w:p>
    <w:sectPr>
      <w:headerReference r:id="rId3" w:type="default"/>
      <w:footerReference r:id="rId4" w:type="default"/>
      <w:footerReference r:id="rId5" w:type="even"/>
      <w:pgSz w:w="11905" w:h="16837"/>
      <w:pgMar w:top="1417" w:right="1588" w:bottom="1417" w:left="1588" w:header="720" w:footer="850" w:gutter="0"/>
      <w:pgNumType w:fmt="decimal" w:start="1"/>
      <w:cols w:equalWidth="0" w:num="1">
        <w:col w:w="8729"/>
      </w:cols>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altName w:val="RomanS"/>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8217" w:y="1"/>
      <w:numPr>
        <w:ilvl w:val="0"/>
        <w:numId w:val="0"/>
      </w:numPr>
      <w:autoSpaceDE/>
      <w:autoSpaceDN/>
      <w:snapToGrid w:val="0"/>
      <w:spacing w:before="0" w:after="0" w:line="240" w:lineRule="auto"/>
      <w:ind w:right="0" w:firstLine="0"/>
      <w:jc w:val="left"/>
      <w:rPr>
        <w:rStyle w:val="27"/>
        <w:rFonts w:hint="default" w:ascii="Times New Roman" w:hAnsi="Times New Roman" w:eastAsia="Times New Roman"/>
        <w:color w:val="auto"/>
        <w:position w:val="0"/>
        <w:sz w:val="28"/>
        <w:szCs w:val="28"/>
      </w:rPr>
    </w:pPr>
    <w:r>
      <w:rPr>
        <w:rStyle w:val="27"/>
        <w:rFonts w:hint="default" w:ascii="Times New Roman" w:hAnsi="Times New Roman" w:eastAsia="Times New Roman"/>
        <w:color w:val="auto"/>
        <w:position w:val="0"/>
        <w:sz w:val="18"/>
        <w:szCs w:val="18"/>
      </w:rPr>
      <w:t>—</w:t>
    </w:r>
    <w:r>
      <w:rPr>
        <w:rStyle w:val="27"/>
        <w:rFonts w:hint="default" w:ascii="Times New Roman" w:hAnsi="Times New Roman" w:eastAsia="Times New Roman"/>
        <w:color w:val="auto"/>
        <w:position w:val="0"/>
        <w:sz w:val="28"/>
        <w:szCs w:val="28"/>
      </w:rPr>
      <w:fldChar w:fldCharType="begin"/>
    </w:r>
    <w:r>
      <w:instrText xml:space="preserve">PAGE  \* MERGEFORMAT</w:instrText>
    </w:r>
    <w:r>
      <w:fldChar w:fldCharType="separate"/>
    </w:r>
    <w:r>
      <w:rPr>
        <w:rStyle w:val="27"/>
        <w:rFonts w:hint="default" w:ascii="Times New Roman" w:hAnsi="Times New Roman" w:eastAsia="Times New Roman"/>
        <w:color w:val="auto"/>
        <w:position w:val="0"/>
        <w:sz w:val="28"/>
        <w:szCs w:val="28"/>
      </w:rPr>
      <w:t>1</w:t>
    </w:r>
    <w:r>
      <w:rPr>
        <w:rFonts w:hint="default" w:ascii="Times New Roman" w:hAnsi="Times New Roman" w:eastAsia="Times New Roman"/>
        <w:color w:val="auto"/>
        <w:position w:val="0"/>
        <w:sz w:val="28"/>
        <w:szCs w:val="28"/>
      </w:rPr>
      <w:fldChar w:fldCharType="end"/>
    </w:r>
    <w:r>
      <w:rPr>
        <w:rStyle w:val="27"/>
        <w:rFonts w:hint="default" w:ascii="Times New Roman" w:hAnsi="Times New Roman" w:eastAsia="Times New Roman"/>
        <w:color w:val="auto"/>
        <w:position w:val="0"/>
        <w:sz w:val="18"/>
        <w:szCs w:val="18"/>
      </w:rPr>
      <w:t>—</w:t>
    </w:r>
  </w:p>
  <w:p>
    <w:pPr>
      <w:pStyle w:val="15"/>
      <w:numPr>
        <w:ilvl w:val="0"/>
        <w:numId w:val="0"/>
      </w:numPr>
      <w:autoSpaceDE/>
      <w:autoSpaceDN/>
      <w:snapToGrid w:val="0"/>
      <w:spacing w:before="0" w:after="0" w:line="240" w:lineRule="auto"/>
      <w:ind w:right="360" w:firstLine="360"/>
      <w:jc w:val="left"/>
      <w:rPr>
        <w:rFonts w:hint="default" w:ascii="Times New Roman" w:hAnsi="Times New Roman" w:eastAsia="Times New Roman"/>
        <w:color w:val="auto"/>
        <w:positio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8629" w:y="1"/>
      <w:numPr>
        <w:ilvl w:val="0"/>
        <w:numId w:val="0"/>
      </w:numPr>
      <w:autoSpaceDE/>
      <w:autoSpaceDN/>
      <w:snapToGrid w:val="0"/>
      <w:spacing w:before="0" w:after="0" w:line="240" w:lineRule="auto"/>
      <w:ind w:right="0" w:firstLine="0"/>
      <w:jc w:val="left"/>
      <w:rPr>
        <w:rStyle w:val="27"/>
        <w:rFonts w:hint="default" w:ascii="Times New Roman" w:hAnsi="Times New Roman" w:eastAsia="Times New Roman"/>
        <w:color w:val="auto"/>
        <w:position w:val="0"/>
        <w:sz w:val="18"/>
        <w:szCs w:val="18"/>
      </w:rPr>
    </w:pPr>
    <w:r>
      <w:rPr>
        <w:rStyle w:val="27"/>
        <w:rFonts w:hint="default" w:ascii="Times New Roman" w:hAnsi="Times New Roman" w:eastAsia="Times New Roman"/>
        <w:color w:val="auto"/>
        <w:position w:val="0"/>
        <w:sz w:val="18"/>
        <w:szCs w:val="18"/>
      </w:rPr>
      <w:fldChar w:fldCharType="begin"/>
    </w:r>
    <w:r>
      <w:instrText xml:space="preserve">PAGE  \* MERGEFORMAT</w:instrText>
    </w:r>
    <w:r>
      <w:fldChar w:fldCharType="separate"/>
    </w:r>
    <w:r>
      <w:rPr>
        <w:rFonts w:hint="default" w:ascii="Times New Roman" w:hAnsi="Times New Roman" w:eastAsia="Times New Roman"/>
        <w:color w:val="auto"/>
        <w:position w:val="0"/>
        <w:sz w:val="18"/>
        <w:szCs w:val="18"/>
      </w:rPr>
      <w:t>1</w:t>
    </w:r>
    <w:r>
      <w:rPr>
        <w:rFonts w:hint="default" w:ascii="Times New Roman" w:hAnsi="Times New Roman" w:eastAsia="Times New Roman"/>
        <w:color w:val="auto"/>
        <w:position w:val="0"/>
        <w:sz w:val="18"/>
        <w:szCs w:val="18"/>
      </w:rPr>
      <w:fldChar w:fldCharType="end"/>
    </w:r>
  </w:p>
  <w:p>
    <w:pPr>
      <w:pStyle w:val="15"/>
      <w:numPr>
        <w:ilvl w:val="0"/>
        <w:numId w:val="0"/>
      </w:numPr>
      <w:autoSpaceDE/>
      <w:autoSpaceDN/>
      <w:snapToGrid w:val="0"/>
      <w:spacing w:before="0" w:after="0" w:line="240" w:lineRule="auto"/>
      <w:ind w:right="360" w:firstLine="360"/>
      <w:jc w:val="left"/>
      <w:rPr>
        <w:rFonts w:hint="default" w:ascii="Times New Roman" w:hAnsi="Times New Roman" w:eastAsia="Times New Roman"/>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pBdr>
        <w:bottom w:val="none" w:color="000000" w:sz="0" w:space="0"/>
      </w:pBdr>
      <w:autoSpaceDE/>
      <w:autoSpaceDN/>
      <w:snapToGrid w:val="0"/>
      <w:spacing w:before="0" w:after="0" w:line="240" w:lineRule="auto"/>
      <w:ind w:right="0" w:firstLine="0"/>
      <w:jc w:val="center"/>
      <w:rPr>
        <w:rFonts w:hint="default" w:ascii="Times New Roman" w:hAnsi="Times New Roman" w:eastAsia="Times New Roman"/>
        <w:color w:val="auto"/>
        <w:positio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EB36312"/>
    <w:rsid w:val="1FC021B6"/>
    <w:rsid w:val="5E2850F3"/>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widowControl/>
      <w:wordWrap/>
      <w:autoSpaceDE/>
      <w:autoSpaceDN/>
      <w:jc w:val="both"/>
    </w:pPr>
    <w:rPr>
      <w:rFonts w:ascii="Calibri" w:hAnsi="Calibri"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Calibri" w:hAnsi="Calibri" w:eastAsia="宋体"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25">
    <w:name w:val="Default Paragraph Font"/>
    <w:semiHidden/>
    <w:unhideWhenUsed/>
    <w:uiPriority w:val="2"/>
  </w:style>
  <w:style w:type="table" w:default="1" w:styleId="24">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5">
    <w:name w:val="footer"/>
    <w:basedOn w:val="1"/>
    <w:link w:val="40"/>
    <w:qFormat/>
    <w:uiPriority w:val="154"/>
    <w:pPr>
      <w:widowControl/>
      <w:tabs>
        <w:tab w:val="center" w:pos="4153"/>
        <w:tab w:val="right" w:pos="8306"/>
      </w:tabs>
      <w:wordWrap/>
      <w:autoSpaceDE/>
      <w:autoSpaceDN/>
    </w:pPr>
    <w:rPr>
      <w:rFonts w:ascii="Times New Roman" w:hAnsi="Times New Roman" w:eastAsia="Times New Roman"/>
      <w:w w:val="100"/>
      <w:sz w:val="18"/>
      <w:szCs w:val="18"/>
      <w:shd w:val="clear"/>
    </w:rPr>
  </w:style>
  <w:style w:type="paragraph" w:styleId="16">
    <w:name w:val="header"/>
    <w:basedOn w:val="1"/>
    <w:link w:val="39"/>
    <w:qFormat/>
    <w:uiPriority w:val="152"/>
    <w:pPr>
      <w:widowControl/>
      <w:tabs>
        <w:tab w:val="center" w:pos="4153"/>
        <w:tab w:val="right" w:pos="8306"/>
      </w:tabs>
      <w:wordWrap/>
      <w:autoSpaceDE/>
      <w:autoSpaceDN/>
      <w:jc w:val="center"/>
    </w:pPr>
    <w:rPr>
      <w:rFonts w:ascii="Times New Roman" w:hAnsi="Times New Roman" w:eastAsia="Times New Roman"/>
      <w:w w:val="100"/>
      <w:sz w:val="18"/>
      <w:szCs w:val="18"/>
      <w:shd w:val="clear"/>
    </w:rPr>
  </w:style>
  <w:style w:type="paragraph" w:styleId="17">
    <w:name w:val="toc 1"/>
    <w:next w:val="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19">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3">
    <w:name w:val="Title"/>
    <w:qFormat/>
    <w:uiPriority w:val="6"/>
    <w:pPr>
      <w:widowControl/>
      <w:wordWrap/>
      <w:autoSpaceDE/>
      <w:autoSpaceDN/>
      <w:jc w:val="center"/>
    </w:pPr>
    <w:rPr>
      <w:rFonts w:ascii="Calibri" w:hAnsi="Calibri" w:eastAsia="宋体" w:cstheme="minorBidi"/>
      <w:b/>
      <w:w w:val="100"/>
      <w:sz w:val="32"/>
      <w:szCs w:val="32"/>
      <w:shd w:val="clear"/>
    </w:rPr>
  </w:style>
  <w:style w:type="character" w:styleId="26">
    <w:name w:val="Strong"/>
    <w:qFormat/>
    <w:uiPriority w:val="20"/>
    <w:rPr>
      <w:b/>
      <w:w w:val="100"/>
      <w:sz w:val="21"/>
      <w:szCs w:val="21"/>
      <w:shd w:val="clear"/>
    </w:rPr>
  </w:style>
  <w:style w:type="character" w:styleId="27">
    <w:name w:val="page number"/>
    <w:basedOn w:val="25"/>
    <w:qFormat/>
    <w:uiPriority w:val="156"/>
  </w:style>
  <w:style w:type="character" w:styleId="28">
    <w:name w:val="Emphasis"/>
    <w:qFormat/>
    <w:uiPriority w:val="18"/>
    <w:rPr>
      <w:i/>
      <w:w w:val="100"/>
      <w:sz w:val="21"/>
      <w:szCs w:val="21"/>
      <w:shd w:val="clear"/>
    </w:rPr>
  </w:style>
  <w:style w:type="paragraph" w:styleId="29">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Calibri" w:hAnsi="Calibri" w:eastAsia="宋体" w:cstheme="minorBidi"/>
      <w:w w:val="100"/>
      <w:sz w:val="21"/>
      <w:szCs w:val="21"/>
      <w:shd w:val="clear"/>
    </w:rPr>
  </w:style>
  <w:style w:type="paragraph" w:customStyle="1" w:styleId="38">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39">
    <w:name w:val="页眉 Char"/>
    <w:basedOn w:val="25"/>
    <w:link w:val="16"/>
    <w:qFormat/>
    <w:uiPriority w:val="153"/>
    <w:rPr>
      <w:rFonts w:ascii="Times New Roman" w:hAnsi="Times New Roman" w:eastAsia="Times New Roman"/>
      <w:w w:val="100"/>
      <w:sz w:val="18"/>
      <w:szCs w:val="18"/>
      <w:shd w:val="clear"/>
    </w:rPr>
  </w:style>
  <w:style w:type="character" w:customStyle="1" w:styleId="40">
    <w:name w:val="页脚 Char"/>
    <w:basedOn w:val="25"/>
    <w:link w:val="15"/>
    <w:qFormat/>
    <w:uiPriority w:val="155"/>
    <w:rPr>
      <w:rFonts w:ascii="Times New Roman" w:hAnsi="Times New Roman" w:eastAsia="Times New Roman"/>
      <w:w w:val="100"/>
      <w:sz w:val="18"/>
      <w:szCs w:val="18"/>
      <w:shd w:val="cle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7</Pages>
  <Words>616</Words>
  <Characters>4121</Characters>
  <Lines>29</Lines>
  <Paragraphs>8</Paragraphs>
  <TotalTime>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2018-09-07T02:20:00Z</dcterms:created>
  <dc:creator>微软用户</dc:creator>
  <cp:lastModifiedBy>穆色倾城</cp:lastModifiedBy>
  <cp:lastPrinted>2018-09-07T02:32:00Z</cp:lastPrinted>
  <dcterms:modified xsi:type="dcterms:W3CDTF">2022-04-24T03:24:53Z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