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部门整体支出绩效自评基础数据表</w:t>
      </w:r>
    </w:p>
    <w:tbl>
      <w:tblPr>
        <w:tblStyle w:val="2"/>
        <w:tblW w:w="904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47"/>
        <w:gridCol w:w="1903"/>
        <w:gridCol w:w="795"/>
        <w:gridCol w:w="180"/>
        <w:gridCol w:w="1200"/>
        <w:gridCol w:w="179"/>
        <w:gridCol w:w="811"/>
        <w:gridCol w:w="825"/>
        <w:gridCol w:w="42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（201</w:t>
            </w:r>
            <w:r>
              <w:rPr>
                <w:rFonts w:hint="eastAsia" w:ascii="黑体" w:hAnsi="黑体" w:eastAsia="黑体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基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况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（盖章）</w:t>
            </w:r>
          </w:p>
        </w:tc>
        <w:tc>
          <w:tcPr>
            <w:tcW w:w="67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隆回县旅游局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编制人数</w:t>
            </w:r>
          </w:p>
        </w:tc>
        <w:tc>
          <w:tcPr>
            <w:tcW w:w="2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9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实有人数</w:t>
            </w:r>
          </w:p>
        </w:tc>
        <w:tc>
          <w:tcPr>
            <w:tcW w:w="25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firstLine="105" w:firstLineChars="5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0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概述</w:t>
            </w:r>
          </w:p>
        </w:tc>
        <w:tc>
          <w:tcPr>
            <w:tcW w:w="67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（一）贯彻执行有关旅游业的方针、政策和法律、法规、规章。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（二）根据本县国民经济和社会发展总体规划，编制本县旅游发展规划，制定旅游规划和年度计划；协同制定旅游跨区域规划，并组织实施。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（三）研究跟踪境内外旅游产业发展趋势，研究制定旅游产业发展的导向性建议；研究制定推进旅游产业结构调整和扶持新兴旅游业态的政策措施，并组织实施。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（四）负责全县旅游住宿、旅行社、旅游景（区）点、旅游度假区、旅游资讯等各类旅游企业及旅游办事机构的行业管理工作；做好旅游线路和旅游集散站的旅游行业管理工作。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五）研究制定旅游市场开发战略，培育和完善旅游市场；制定本县旅游形象宣传计划，建立国内外旅游宣传网点并确定年度宣传专题，重点推介本县大型旅游活动和旅游线路；组织、指导重要旅游产品的开发工作；组织、指导、协调旅游节庆活动；参与组织协调本县会议、展览等有关大型活动；指导本县旅游企业及旅游办事机构的市场开发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（六）组织实施涉及各类旅游景（区）点、旅游度假区、旅游住宿、旅行社、旅游车船及特种旅游项目的行业标准。会同有关部门制定本县旅游业的地方性标准，并指导实施。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（七）组织对本县的旅游资源进行普查、评估，建立旅游资源档案，制定旅游资源保护方案，并组织实施。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（八）监督、检查旅游市场秩序和服务质量，受理旅游者投诉，维护旅游者和旅游经营者合法权益；负责旅游服务配套设施的规划管理和开发指导工作。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（九）指导旅游行业人才开发、交流和管理；负责制定旅游人才培训规划和专业技术岗位标准；组织指导旅游教育、培训工作；指导旅游从业人员的职业资格考试和等级考核工作。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（十）承办县政府交办的其他事项。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年度收入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（万元）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县财政预算安排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237.12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非税收入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合计</w:t>
            </w: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237.57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中央省市安排资金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其他收入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0.45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年度支出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（万元）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基本支出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127.38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项目支出</w:t>
            </w:r>
          </w:p>
        </w:tc>
        <w:tc>
          <w:tcPr>
            <w:tcW w:w="9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113.26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合计</w:t>
            </w: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240.64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其中三公经费支出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7.28</w:t>
            </w: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890" w:hRule="atLeast"/>
        </w:trPr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楷体" w:hAnsi="楷体" w:eastAsia="楷体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实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施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况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财政供养人员控制情况</w:t>
            </w:r>
          </w:p>
        </w:tc>
        <w:tc>
          <w:tcPr>
            <w:tcW w:w="631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126365</wp:posOffset>
                      </wp:positionV>
                      <wp:extent cx="95250" cy="175895"/>
                      <wp:effectExtent l="4445" t="2540" r="14605" b="12065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" cy="1758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flip:y;margin-left:147.6pt;margin-top:9.95pt;height:13.85pt;width:7.5pt;z-index:251659264;mso-width-relative:page;mso-height-relative:page;" filled="f" stroked="t" coordsize="21600,21600" o:gfxdata="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T4a/1wAAAAkBAAAP&#10;AAAAAAAAAAEAIAAAACIAAABkcnMvZG93bnJldi54bWxQSwECFAAUAAAACACHTuJA7B59TuABAACi&#10;AwAADgAAAAAAAAABACAAAAAm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66040</wp:posOffset>
                      </wp:positionV>
                      <wp:extent cx="76200" cy="57785"/>
                      <wp:effectExtent l="3175" t="3810" r="15875" b="14605"/>
                      <wp:wrapNone/>
                      <wp:docPr id="1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577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141.6pt;margin-top:5.2pt;height:4.55pt;width:6pt;z-index:251658240;mso-width-relative:page;mso-height-relative:page;" filled="f" stroked="t" coordsize="21600,21600" o:gfxdata="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2CXVPWAAAACQEAAA8AAAAAAAAA&#10;AQAgAAAAIgAAAGRycy9kb3ducmV2LnhtbFBLAQIUABQAAAAIAIdO4kC2AyzC2gEAAJc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/>
              </w:rPr>
              <w:t>是否存在超编超配人员：   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1573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三公经费管理情况</w:t>
            </w:r>
          </w:p>
        </w:tc>
        <w:tc>
          <w:tcPr>
            <w:tcW w:w="631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是否制定“三公”经费管理办法：是□√    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招待费用是否明确招待标准和招待人数：是□√    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公务用车购置运行费是否比上年度下降: 是□   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三公经费是否比年度下降：是□ √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1125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非税收入完成情况</w:t>
            </w:r>
          </w:p>
        </w:tc>
        <w:tc>
          <w:tcPr>
            <w:tcW w:w="631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年度非税收入是否完成: 是□   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是否实行收支两条线管理：是□    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有无截留、坐支、转移等现象:有□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980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政府采购及金额</w:t>
            </w:r>
          </w:p>
        </w:tc>
        <w:tc>
          <w:tcPr>
            <w:tcW w:w="631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年度是否制定了政府采购计划：是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□√    □否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应采购金额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万元，实际采购金额 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2302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预算执行</w:t>
            </w:r>
          </w:p>
        </w:tc>
        <w:tc>
          <w:tcPr>
            <w:tcW w:w="631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本年度是否追加了预算:是□ 否□, 追加金额   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本年度是否有结余: 是□   否□√,结余金额     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预决算信息是否公开: 是□ √ 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公开时间:  201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公开方式:门户网站□ √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1727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财务管理</w:t>
            </w:r>
          </w:p>
        </w:tc>
        <w:tc>
          <w:tcPr>
            <w:tcW w:w="631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是否制定财务管理、会计核算等制度: 是□ √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会计机构是否按规定设置: 是□否□√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会计人员是否持证上岗: 是□</w:t>
            </w:r>
            <w:r>
              <w:rPr>
                <w:rFonts w:hint="eastAsia" w:ascii="Arial" w:hAnsi="Arial" w:cs="Arial"/>
              </w:rPr>
              <w:t xml:space="preserve">  </w:t>
            </w:r>
            <w:r>
              <w:rPr>
                <w:rFonts w:hint="eastAsia" w:ascii="楷体" w:hAnsi="楷体" w:eastAsia="楷体"/>
              </w:rPr>
              <w:t>否□√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1705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资金管理</w:t>
            </w:r>
          </w:p>
        </w:tc>
        <w:tc>
          <w:tcPr>
            <w:tcW w:w="631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是否制定资金管理办法: 是□ √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资金拨付有完整的审批程序: 有□√  无□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3885" w:leftChars="0" w:right="0" w:rightChars="0" w:hanging="3885" w:hangingChars="185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资金使用是否存在违规使用资金、乱发津补贴奖金现象：是□  否□√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2286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资产管理</w:t>
            </w:r>
          </w:p>
        </w:tc>
        <w:tc>
          <w:tcPr>
            <w:tcW w:w="631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是否制定资产管理制度: 是□</w:t>
            </w:r>
            <w:r>
              <w:rPr>
                <w:rFonts w:hint="eastAsia" w:ascii="宋体" w:hAnsi="宋体" w:cs="宋体"/>
              </w:rPr>
              <w:t> </w:t>
            </w:r>
            <w:r>
              <w:rPr>
                <w:rFonts w:hint="eastAsia" w:ascii="楷体" w:hAnsi="楷体" w:eastAsia="楷体"/>
              </w:rPr>
              <w:t>√否□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资产管理、保存、处置是否合理规范: 是□√ 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资产是否产权清晰、两证齐全：是□√   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账、表、实、卡是否相符: 是□√否□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775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楷体" w:hAnsi="楷体" w:eastAsia="楷体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职责履行</w:t>
            </w:r>
          </w:p>
        </w:tc>
        <w:tc>
          <w:tcPr>
            <w:tcW w:w="631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重点工作是否全部完成且质量达标: 是□√</w:t>
            </w:r>
            <w:r>
              <w:rPr>
                <w:rFonts w:hint="eastAsia" w:ascii="宋体" w:hAnsi="宋体" w:cs="宋体"/>
              </w:rPr>
              <w:t> </w:t>
            </w:r>
            <w:r>
              <w:rPr>
                <w:rFonts w:hint="eastAsia" w:ascii="楷体" w:hAnsi="楷体" w:eastAsia="楷体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50" w:hRule="atLeast"/>
        </w:trPr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主要绩效</w:t>
            </w:r>
          </w:p>
        </w:tc>
        <w:tc>
          <w:tcPr>
            <w:tcW w:w="77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05" w:firstLineChars="5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2018年，我局坚持以习近平新时代中国特色社会主义思想为指导，全面贯彻落实党的十九大精神，按照省、市旅游工作会议要求，坚持“商旅活县”发展战略，围绕“打魏源牌、举花瑶旗”发展思路，抓住“美丽中国·全域旅游年”和全市旅游基础设施建设年这一契机，稳步推进项目建设，打好旅游脱贫攻坚战、积极开拓旅游市场，全面推进我县旅游向优质旅游迈进。全年共游客接待209万人次左右，实现旅游总收入13.1亿左右。成功创建大花瑶虎形山景区国家3A级景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1473" w:hRule="atLeast"/>
        </w:trPr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自评结论</w:t>
            </w:r>
          </w:p>
        </w:tc>
        <w:tc>
          <w:tcPr>
            <w:tcW w:w="77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735" w:hRule="atLeast"/>
        </w:trPr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问题与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建议</w:t>
            </w:r>
          </w:p>
        </w:tc>
        <w:tc>
          <w:tcPr>
            <w:tcW w:w="77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20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20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问题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我局没有任何收入来源，行政运行经费预算不足部分没有填补来源。旅游专项经费预算太少，不能确保我局重大工作的正常开展。而且还有一些突发性经费无法预测，导致我局财政更加困难。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20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二、建议：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加大部门预算经费及旅游专项经费的预算。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2514" w:hRule="atLeast"/>
        </w:trPr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主管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意见</w:t>
            </w:r>
          </w:p>
        </w:tc>
        <w:tc>
          <w:tcPr>
            <w:tcW w:w="77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3360" w:firstLineChars="1600"/>
              <w:jc w:val="both"/>
              <w:rPr>
                <w:rFonts w:ascii="楷体" w:hAnsi="楷体" w:eastAsia="楷体"/>
              </w:rPr>
            </w:pPr>
          </w:p>
          <w:p>
            <w:pPr>
              <w:ind w:firstLine="3360" w:firstLineChars="1600"/>
              <w:jc w:val="both"/>
              <w:rPr>
                <w:rFonts w:hint="eastAsia" w:ascii="楷体" w:hAnsi="楷体" w:eastAsia="楷体"/>
              </w:rPr>
            </w:pPr>
          </w:p>
          <w:p>
            <w:pPr>
              <w:ind w:firstLine="3360" w:firstLineChars="1600"/>
              <w:jc w:val="both"/>
              <w:rPr>
                <w:rFonts w:hint="eastAsia" w:ascii="楷体" w:hAnsi="楷体" w:eastAsia="楷体"/>
              </w:rPr>
            </w:pPr>
          </w:p>
          <w:p>
            <w:pPr>
              <w:ind w:firstLine="3360" w:firstLineChars="1600"/>
              <w:jc w:val="both"/>
              <w:rPr>
                <w:rFonts w:hint="eastAsia" w:ascii="楷体" w:hAnsi="楷体" w:eastAsia="楷体"/>
              </w:rPr>
            </w:pPr>
          </w:p>
          <w:p>
            <w:pPr>
              <w:ind w:firstLine="5670" w:firstLineChars="2700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主管部门（盖章）：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</w:rPr>
        <w:t>填报人：陈芳  联系电话：15573</w:t>
      </w:r>
      <w:r>
        <w:rPr>
          <w:rFonts w:hint="eastAsia" w:ascii="仿宋" w:hAnsi="仿宋" w:eastAsia="仿宋" w:cs="仿宋"/>
          <w:lang w:val="en-US" w:eastAsia="zh-CN"/>
        </w:rPr>
        <w:t>****</w:t>
      </w:r>
      <w:bookmarkStart w:id="0" w:name="_GoBack"/>
      <w:bookmarkEnd w:id="0"/>
      <w:r>
        <w:rPr>
          <w:rFonts w:hint="eastAsia" w:ascii="仿宋" w:hAnsi="仿宋" w:eastAsia="仿宋" w:cs="仿宋"/>
        </w:rPr>
        <w:t xml:space="preserve">66     </w:t>
      </w:r>
      <w:r>
        <w:rPr>
          <w:rFonts w:hint="eastAsia" w:ascii="仿宋" w:hAnsi="仿宋" w:eastAsia="仿宋" w:cs="仿宋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</w:rPr>
        <w:t>时间： 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 xml:space="preserve"> 年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 xml:space="preserve">月 </w:t>
      </w:r>
      <w:r>
        <w:rPr>
          <w:rFonts w:hint="eastAsia" w:ascii="仿宋" w:hAnsi="仿宋" w:eastAsia="仿宋" w:cs="仿宋"/>
          <w:lang w:val="en-US" w:eastAsia="zh-CN"/>
        </w:rPr>
        <w:t>19</w:t>
      </w:r>
      <w:r>
        <w:rPr>
          <w:rFonts w:hint="eastAsia" w:ascii="仿宋" w:hAnsi="仿宋" w:eastAsia="仿宋" w:cs="仿宋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spacing w:line="560" w:lineRule="exact"/>
        <w:rPr>
          <w:rFonts w:hint="eastAsia"/>
        </w:rPr>
      </w:pPr>
      <w:r>
        <w:rPr>
          <w:rFonts w:hint="eastAsia" w:ascii="黑体" w:hAnsi="黑体" w:eastAsia="黑体"/>
          <w:kern w:val="0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285F"/>
    <w:multiLevelType w:val="singleLevel"/>
    <w:tmpl w:val="59A5285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43"/>
    <w:rsid w:val="00012418"/>
    <w:rsid w:val="00355891"/>
    <w:rsid w:val="0065329A"/>
    <w:rsid w:val="00AE0FC3"/>
    <w:rsid w:val="00BF1643"/>
    <w:rsid w:val="00F31708"/>
    <w:rsid w:val="049D28F3"/>
    <w:rsid w:val="0BD427F4"/>
    <w:rsid w:val="2512075E"/>
    <w:rsid w:val="295845F2"/>
    <w:rsid w:val="307035AE"/>
    <w:rsid w:val="315A623D"/>
    <w:rsid w:val="420F2533"/>
    <w:rsid w:val="4B367BC6"/>
    <w:rsid w:val="4E8B7A59"/>
    <w:rsid w:val="5C013C33"/>
    <w:rsid w:val="707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5</Pages>
  <Words>320</Words>
  <Characters>1829</Characters>
  <Lines>15</Lines>
  <Paragraphs>4</Paragraphs>
  <TotalTime>10</TotalTime>
  <ScaleCrop>false</ScaleCrop>
  <LinksUpToDate>false</LinksUpToDate>
  <CharactersWithSpaces>2145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2017-08-29T07:11:00Z</dcterms:created>
  <dc:creator>Win7w</dc:creator>
  <cp:lastModifiedBy>穆色倾城</cp:lastModifiedBy>
  <cp:lastPrinted>2019-07-30T01:36:00Z</cp:lastPrinted>
  <dcterms:modified xsi:type="dcterms:W3CDTF">2022-04-24T09:44:06Z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